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D4ECB" w14:textId="77777777" w:rsidR="00616AC2" w:rsidRDefault="001C5B74" w:rsidP="00616AC2">
      <w:pPr>
        <w:jc w:val="center"/>
        <w:rPr>
          <w:b/>
          <w:sz w:val="24"/>
          <w:szCs w:val="24"/>
        </w:rPr>
      </w:pPr>
      <w:r w:rsidRPr="00B730AB">
        <w:rPr>
          <w:b/>
          <w:sz w:val="24"/>
          <w:szCs w:val="24"/>
        </w:rPr>
        <w:t xml:space="preserve">Příloha č. 1 </w:t>
      </w:r>
    </w:p>
    <w:p w14:paraId="3EBEECF4" w14:textId="4F810E37" w:rsidR="00616AC2" w:rsidRDefault="001C5B74" w:rsidP="00616AC2">
      <w:pPr>
        <w:jc w:val="center"/>
        <w:rPr>
          <w:b/>
          <w:sz w:val="24"/>
          <w:szCs w:val="24"/>
        </w:rPr>
      </w:pPr>
      <w:r w:rsidRPr="00B730AB">
        <w:rPr>
          <w:b/>
          <w:sz w:val="24"/>
          <w:szCs w:val="24"/>
        </w:rPr>
        <w:t xml:space="preserve">Způsob vykazování kvality a úrovně údržby zařízení </w:t>
      </w:r>
      <w:r w:rsidR="00616AC2">
        <w:rPr>
          <w:b/>
          <w:sz w:val="24"/>
          <w:szCs w:val="24"/>
        </w:rPr>
        <w:t xml:space="preserve">přenosové a </w:t>
      </w:r>
      <w:r w:rsidRPr="00B730AB">
        <w:rPr>
          <w:b/>
          <w:sz w:val="24"/>
          <w:szCs w:val="24"/>
        </w:rPr>
        <w:t xml:space="preserve">distribučních soustav pro účely zpracování Zprávy </w:t>
      </w:r>
    </w:p>
    <w:p w14:paraId="7BE9B389" w14:textId="333EBAF3" w:rsidR="001C5B74" w:rsidRPr="00616AC2" w:rsidRDefault="001C5B74" w:rsidP="00616AC2">
      <w:pPr>
        <w:jc w:val="center"/>
        <w:rPr>
          <w:rFonts w:ascii="Times New Roman" w:hAnsi="Times New Roman" w:cs="Times New Roman"/>
          <w:sz w:val="20"/>
          <w:szCs w:val="20"/>
        </w:rPr>
      </w:pPr>
      <w:r w:rsidRPr="00616AC2">
        <w:rPr>
          <w:rFonts w:ascii="Times New Roman" w:hAnsi="Times New Roman" w:cs="Times New Roman"/>
          <w:sz w:val="20"/>
          <w:szCs w:val="20"/>
        </w:rPr>
        <w:t xml:space="preserve">podle </w:t>
      </w:r>
      <w:r w:rsidR="00616AC2">
        <w:rPr>
          <w:rFonts w:ascii="Times New Roman" w:hAnsi="Times New Roman" w:cs="Times New Roman"/>
          <w:sz w:val="20"/>
          <w:szCs w:val="20"/>
        </w:rPr>
        <w:t xml:space="preserve">§ 24 odst. 10 písm. t) a </w:t>
      </w:r>
      <w:r w:rsidRPr="00616AC2">
        <w:rPr>
          <w:rFonts w:ascii="Times New Roman" w:hAnsi="Times New Roman" w:cs="Times New Roman"/>
          <w:sz w:val="20"/>
          <w:szCs w:val="20"/>
        </w:rPr>
        <w:t>§ 25 odst. 11 písm. c) zákona č. 458/2000 Sb., energetický zákon, ve znění pozdějších předpisů</w:t>
      </w:r>
    </w:p>
    <w:p w14:paraId="27A4E5FB" w14:textId="77777777" w:rsidR="001C5B74" w:rsidRDefault="001C5B74" w:rsidP="00D046D8">
      <w:pPr>
        <w:pStyle w:val="SLOOstavec"/>
        <w:numPr>
          <w:ilvl w:val="0"/>
          <w:numId w:val="0"/>
        </w:numPr>
      </w:pPr>
    </w:p>
    <w:p w14:paraId="539C8794" w14:textId="53B3E784" w:rsidR="00FA26A6" w:rsidRPr="00B730AB" w:rsidRDefault="00D046D8" w:rsidP="00D046D8">
      <w:pPr>
        <w:pStyle w:val="SLOOstavec"/>
        <w:numPr>
          <w:ilvl w:val="0"/>
          <w:numId w:val="0"/>
        </w:numPr>
        <w:rPr>
          <w:b/>
        </w:rPr>
      </w:pPr>
      <w:r w:rsidRPr="00B730AB">
        <w:rPr>
          <w:b/>
        </w:rPr>
        <w:t xml:space="preserve">1) </w:t>
      </w:r>
      <w:r w:rsidR="00FA26A6" w:rsidRPr="00B730AB">
        <w:rPr>
          <w:b/>
        </w:rPr>
        <w:t xml:space="preserve">Pro účely </w:t>
      </w:r>
      <w:r w:rsidRPr="00B730AB">
        <w:rPr>
          <w:b/>
        </w:rPr>
        <w:t>vykazování se rozumí</w:t>
      </w:r>
    </w:p>
    <w:p w14:paraId="1CF1B676" w14:textId="2866B3B5" w:rsidR="00616AC2" w:rsidRDefault="00616AC2" w:rsidP="00A277C4">
      <w:pPr>
        <w:pStyle w:val="PSMOdstavec"/>
        <w:ind w:left="567" w:hanging="283"/>
      </w:pPr>
      <w:r w:rsidRPr="00616AC2">
        <w:t xml:space="preserve">přenosovou soustavou vzájemně propojený soubor vedení a zařízení 400 </w:t>
      </w:r>
      <w:proofErr w:type="spellStart"/>
      <w:r w:rsidRPr="00616AC2">
        <w:t>kV</w:t>
      </w:r>
      <w:proofErr w:type="spellEnd"/>
      <w:r w:rsidRPr="00616AC2">
        <w:t xml:space="preserve">, 220 </w:t>
      </w:r>
      <w:proofErr w:type="spellStart"/>
      <w:r w:rsidRPr="00616AC2">
        <w:t>kV</w:t>
      </w:r>
      <w:proofErr w:type="spellEnd"/>
      <w:r w:rsidRPr="00616AC2">
        <w:t xml:space="preserve"> a vybraných vedení a zařízení 110 </w:t>
      </w:r>
      <w:proofErr w:type="spellStart"/>
      <w:r w:rsidRPr="00616AC2">
        <w:t>kV</w:t>
      </w:r>
      <w:proofErr w:type="spellEnd"/>
      <w:r w:rsidRPr="00616AC2">
        <w:t>, uvedených v příloze Pravidel provozování přenosové soustavy, sloužící pro zajištění přenosu elektřiny pro celé území České republiky a propojení s elektrizačními soustavami sousedních států, včetně systémů měřicí, ochranné, řídicí, zabezpečovací, informační a telekomunikační techniky; přenosová soustava je zřizována a provozována ve veřejném zájmu,</w:t>
      </w:r>
    </w:p>
    <w:p w14:paraId="62BEDC8A" w14:textId="0896D18D" w:rsidR="00A277C4" w:rsidRPr="006E00D2" w:rsidRDefault="00616AC2" w:rsidP="00A277C4">
      <w:pPr>
        <w:pStyle w:val="PSMOdstavec"/>
        <w:ind w:left="567" w:hanging="283"/>
      </w:pPr>
      <w:r w:rsidRPr="00616AC2">
        <w:t xml:space="preserve">distribuční soustavou vzájemně propojený soubor vedení a zařízení o napětí 110 </w:t>
      </w:r>
      <w:proofErr w:type="spellStart"/>
      <w:r w:rsidRPr="00616AC2">
        <w:t>kV</w:t>
      </w:r>
      <w:proofErr w:type="spellEnd"/>
      <w:r w:rsidRPr="00616AC2">
        <w:t xml:space="preserve">, s výjimkou vybraných vedení a zařízení o napětí 110 </w:t>
      </w:r>
      <w:proofErr w:type="spellStart"/>
      <w:r w:rsidRPr="00616AC2">
        <w:t>kV</w:t>
      </w:r>
      <w:proofErr w:type="spellEnd"/>
      <w:r w:rsidRPr="00616AC2">
        <w:t xml:space="preserve">, která jsou součástí přenosové soustavy, a vedení a zařízení o napětí 0,4/0,23 </w:t>
      </w:r>
      <w:proofErr w:type="spellStart"/>
      <w:r w:rsidRPr="00616AC2">
        <w:t>kV</w:t>
      </w:r>
      <w:proofErr w:type="spellEnd"/>
      <w:r w:rsidRPr="00616AC2">
        <w:t xml:space="preserve">, 1,5 </w:t>
      </w:r>
      <w:proofErr w:type="spellStart"/>
      <w:r w:rsidRPr="00616AC2">
        <w:t>kV</w:t>
      </w:r>
      <w:proofErr w:type="spellEnd"/>
      <w:r w:rsidRPr="00616AC2">
        <w:t xml:space="preserve">, 3 </w:t>
      </w:r>
      <w:proofErr w:type="spellStart"/>
      <w:r w:rsidRPr="00616AC2">
        <w:t>kV</w:t>
      </w:r>
      <w:proofErr w:type="spellEnd"/>
      <w:r w:rsidRPr="00616AC2">
        <w:t xml:space="preserve">, 6 </w:t>
      </w:r>
      <w:proofErr w:type="spellStart"/>
      <w:r w:rsidRPr="00616AC2">
        <w:t>kV</w:t>
      </w:r>
      <w:proofErr w:type="spellEnd"/>
      <w:r w:rsidRPr="00616AC2">
        <w:t xml:space="preserve">, 10 </w:t>
      </w:r>
      <w:proofErr w:type="spellStart"/>
      <w:r w:rsidRPr="00616AC2">
        <w:t>kV</w:t>
      </w:r>
      <w:proofErr w:type="spellEnd"/>
      <w:r w:rsidRPr="00616AC2">
        <w:t xml:space="preserve">, 22 </w:t>
      </w:r>
      <w:proofErr w:type="spellStart"/>
      <w:r w:rsidRPr="00616AC2">
        <w:t>kV</w:t>
      </w:r>
      <w:proofErr w:type="spellEnd"/>
      <w:r w:rsidRPr="00616AC2">
        <w:t xml:space="preserve">, 25 </w:t>
      </w:r>
      <w:proofErr w:type="spellStart"/>
      <w:r w:rsidRPr="00616AC2">
        <w:t>kV</w:t>
      </w:r>
      <w:proofErr w:type="spellEnd"/>
      <w:r w:rsidRPr="00616AC2">
        <w:t xml:space="preserve"> nebo 35 </w:t>
      </w:r>
      <w:proofErr w:type="spellStart"/>
      <w:r w:rsidRPr="00616AC2">
        <w:t>kV</w:t>
      </w:r>
      <w:proofErr w:type="spellEnd"/>
      <w:r w:rsidRPr="00616AC2">
        <w:t xml:space="preserve"> provozovaný držitelem licence na distribuci elektřiny a sloužící k zajištění distribuce elektřiny na vymezeném území České republiky, včetně systémů měřicí, ochranné, řídicí, zabezpečovací, informační a telekomunikační techniky včetně elektrických přípojek ve vlastnictví provozovatele distribuční soustavy; distribuční soustava je zřizována a provozována ve veřejném zájmu</w:t>
      </w:r>
      <w:r w:rsidR="00A277C4" w:rsidRPr="00A277C4">
        <w:t>,</w:t>
      </w:r>
    </w:p>
    <w:p w14:paraId="44EEC3E4" w14:textId="77777777" w:rsidR="00A277C4" w:rsidRDefault="00A277C4" w:rsidP="00A277C4">
      <w:pPr>
        <w:pStyle w:val="PSMOdstavec"/>
        <w:ind w:left="567" w:hanging="283"/>
      </w:pPr>
      <w:r>
        <w:t>koncepcí údržby stanovení cílů údržby, míst údržby, stupňů rozčlenění, stupňů údržby, zajištění údržby a jejich vzájemných vztahů.</w:t>
      </w:r>
    </w:p>
    <w:p w14:paraId="4CA77ADF" w14:textId="77777777" w:rsidR="00A277C4" w:rsidRDefault="003D7119" w:rsidP="00A277C4">
      <w:pPr>
        <w:pStyle w:val="PSMOdstavec"/>
        <w:ind w:left="567" w:hanging="283"/>
      </w:pPr>
      <w:r>
        <w:t>strategií údržby zajišťování optimálních údržbových strategií, které nesnižují spolehlivost provozu elektrizační soustavy,</w:t>
      </w:r>
      <w:r w:rsidR="00A277C4" w:rsidRPr="00A277C4">
        <w:t xml:space="preserve"> </w:t>
      </w:r>
    </w:p>
    <w:p w14:paraId="1A9ABD69" w14:textId="37192213" w:rsidR="003D7119" w:rsidRDefault="00A277C4" w:rsidP="00A277C4">
      <w:pPr>
        <w:pStyle w:val="PSMOdstavec"/>
        <w:ind w:left="567" w:hanging="283"/>
      </w:pPr>
      <w:r w:rsidRPr="006E00D2">
        <w:t>údržbou kombinace všech technických, administrativních a dozorových činností, zaměřených na zpomalení fyzického opotřebení, předcházení poruchám a udržení ve stavu nebo navrácení zařízení do stavu, v němž může plnit požadovanou funkci, tj. včetně vykonávání činností jako revize, zkoušky, diagnostiky atd. v souladu s řádem preventivní údržby nebo předpisy výrobce zařízení</w:t>
      </w:r>
      <w:r>
        <w:t>,</w:t>
      </w:r>
    </w:p>
    <w:p w14:paraId="1414BC8B" w14:textId="6F3311F2" w:rsidR="00D046D8" w:rsidRDefault="001C5B74" w:rsidP="001C5B74">
      <w:pPr>
        <w:pStyle w:val="PSMOdstavec"/>
        <w:ind w:left="567" w:hanging="283"/>
      </w:pPr>
      <w:r>
        <w:t>technickým zhodnocením ve</w:t>
      </w:r>
      <w:r w:rsidR="000B58D6">
        <w:t xml:space="preserve"> </w:t>
      </w:r>
      <w:r w:rsidRPr="006E00D2">
        <w:t>významu dle definice technického zhodnocení v § 33 zákona č. 586/1992 Sb., o daních z příjmu, ve znění pozdějších předpisů.</w:t>
      </w:r>
    </w:p>
    <w:p w14:paraId="492FD59A" w14:textId="77777777" w:rsidR="00D046D8" w:rsidRDefault="00D046D8" w:rsidP="00D046D8">
      <w:pPr>
        <w:pStyle w:val="PSMOdstavec"/>
        <w:numPr>
          <w:ilvl w:val="0"/>
          <w:numId w:val="0"/>
        </w:numPr>
        <w:ind w:left="284"/>
      </w:pPr>
    </w:p>
    <w:p w14:paraId="154358C2" w14:textId="65B58646" w:rsidR="0049725B" w:rsidRPr="00B730AB" w:rsidRDefault="00D046D8" w:rsidP="00D046D8">
      <w:pPr>
        <w:pStyle w:val="PSMOdstavec"/>
        <w:numPr>
          <w:ilvl w:val="0"/>
          <w:numId w:val="0"/>
        </w:numPr>
        <w:rPr>
          <w:b/>
        </w:rPr>
      </w:pPr>
      <w:r w:rsidRPr="00B730AB">
        <w:rPr>
          <w:b/>
        </w:rPr>
        <w:t xml:space="preserve">2) </w:t>
      </w:r>
      <w:r w:rsidR="00147BE7" w:rsidRPr="00B730AB">
        <w:rPr>
          <w:b/>
        </w:rPr>
        <w:t>Informace o strategii a koncepci údržby elektrických sítí</w:t>
      </w:r>
    </w:p>
    <w:p w14:paraId="53B0B52F" w14:textId="77777777" w:rsidR="00147BE7" w:rsidRDefault="00147BE7" w:rsidP="00A813BE">
      <w:pPr>
        <w:pStyle w:val="Odstavecseseznamem"/>
        <w:numPr>
          <w:ilvl w:val="0"/>
          <w:numId w:val="14"/>
        </w:numPr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popis postupu ke zjištění optimálních údržbových strategií,</w:t>
      </w:r>
    </w:p>
    <w:p w14:paraId="3D23BA72" w14:textId="42486DB4" w:rsidR="00147BE7" w:rsidRPr="006E00D2" w:rsidRDefault="00147BE7" w:rsidP="00A813BE">
      <w:pPr>
        <w:pStyle w:val="Odstavecseseznamem"/>
        <w:numPr>
          <w:ilvl w:val="0"/>
          <w:numId w:val="14"/>
        </w:numPr>
        <w:spacing w:line="276" w:lineRule="auto"/>
        <w:ind w:left="567" w:hanging="284"/>
        <w:jc w:val="both"/>
        <w:rPr>
          <w:sz w:val="22"/>
          <w:szCs w:val="22"/>
        </w:rPr>
      </w:pPr>
      <w:r w:rsidRPr="006E00D2">
        <w:rPr>
          <w:sz w:val="22"/>
          <w:szCs w:val="22"/>
        </w:rPr>
        <w:lastRenderedPageBreak/>
        <w:t xml:space="preserve">popis systému principů organizace a provádění údržby zařízení </w:t>
      </w:r>
      <w:r w:rsidR="00256B6F">
        <w:rPr>
          <w:sz w:val="22"/>
          <w:szCs w:val="22"/>
        </w:rPr>
        <w:t xml:space="preserve">přenosové a </w:t>
      </w:r>
      <w:r w:rsidR="00A813BE">
        <w:rPr>
          <w:sz w:val="22"/>
          <w:szCs w:val="22"/>
        </w:rPr>
        <w:t>dist</w:t>
      </w:r>
      <w:r w:rsidR="000B58D6">
        <w:rPr>
          <w:sz w:val="22"/>
          <w:szCs w:val="22"/>
        </w:rPr>
        <w:t>r</w:t>
      </w:r>
      <w:r w:rsidR="00A813BE">
        <w:rPr>
          <w:sz w:val="22"/>
          <w:szCs w:val="22"/>
        </w:rPr>
        <w:t>ibuční</w:t>
      </w:r>
      <w:r w:rsidR="00A813BE" w:rsidRPr="006E00D2">
        <w:rPr>
          <w:sz w:val="22"/>
          <w:szCs w:val="22"/>
        </w:rPr>
        <w:t xml:space="preserve"> </w:t>
      </w:r>
      <w:r w:rsidRPr="006E00D2">
        <w:rPr>
          <w:sz w:val="22"/>
          <w:szCs w:val="22"/>
        </w:rPr>
        <w:t>soustavy, tj. kombinace všech technických, administrativních a dozorových činností, zaměřených na zpomalení fyzického opotřebení, předcházení poruchám a udržení ve stavu nebo navrácení zařízení do stavu, v němž může plnit požadovanou funkci,</w:t>
      </w:r>
    </w:p>
    <w:p w14:paraId="1EB4703F" w14:textId="287F6793" w:rsidR="00147BE7" w:rsidRPr="006E00D2" w:rsidRDefault="00147BE7" w:rsidP="00A813BE">
      <w:pPr>
        <w:pStyle w:val="Odstavecseseznamem"/>
        <w:numPr>
          <w:ilvl w:val="0"/>
          <w:numId w:val="14"/>
        </w:numPr>
        <w:spacing w:line="276" w:lineRule="auto"/>
        <w:ind w:left="567" w:hanging="284"/>
        <w:jc w:val="both"/>
        <w:rPr>
          <w:sz w:val="22"/>
          <w:szCs w:val="22"/>
        </w:rPr>
      </w:pPr>
      <w:r w:rsidRPr="006E00D2">
        <w:rPr>
          <w:sz w:val="22"/>
          <w:szCs w:val="22"/>
        </w:rPr>
        <w:t xml:space="preserve">popis, jakým způsobem provádění údržby zohledňuje různé stáří zařízení </w:t>
      </w:r>
      <w:r w:rsidR="00256B6F">
        <w:rPr>
          <w:sz w:val="22"/>
          <w:szCs w:val="22"/>
        </w:rPr>
        <w:t xml:space="preserve">přenosové a </w:t>
      </w:r>
      <w:r w:rsidR="00A813BE">
        <w:rPr>
          <w:sz w:val="22"/>
          <w:szCs w:val="22"/>
        </w:rPr>
        <w:t>distribuční</w:t>
      </w:r>
      <w:r w:rsidR="00A813BE" w:rsidRPr="006E00D2">
        <w:rPr>
          <w:sz w:val="22"/>
          <w:szCs w:val="22"/>
        </w:rPr>
        <w:t xml:space="preserve"> </w:t>
      </w:r>
      <w:r w:rsidRPr="006E00D2">
        <w:rPr>
          <w:sz w:val="22"/>
          <w:szCs w:val="22"/>
        </w:rPr>
        <w:t>soustavy včetně způsobu a jakým je sledována poruchovost zařízení v závislosti na jeho stáří,</w:t>
      </w:r>
    </w:p>
    <w:p w14:paraId="0B42E9A5" w14:textId="551B9C26" w:rsidR="00147BE7" w:rsidRDefault="00147BE7" w:rsidP="00A813BE">
      <w:pPr>
        <w:pStyle w:val="Odstavecseseznamem"/>
        <w:numPr>
          <w:ilvl w:val="0"/>
          <w:numId w:val="14"/>
        </w:numPr>
        <w:spacing w:after="240" w:line="276" w:lineRule="auto"/>
        <w:ind w:left="567" w:hanging="283"/>
        <w:jc w:val="both"/>
        <w:rPr>
          <w:sz w:val="22"/>
          <w:szCs w:val="22"/>
        </w:rPr>
      </w:pPr>
      <w:r w:rsidRPr="006E00D2">
        <w:rPr>
          <w:sz w:val="22"/>
          <w:szCs w:val="22"/>
        </w:rPr>
        <w:t xml:space="preserve">popis mimořádných nebo významných událostí pro údržbu </w:t>
      </w:r>
      <w:r w:rsidR="00256B6F">
        <w:rPr>
          <w:sz w:val="22"/>
          <w:szCs w:val="22"/>
        </w:rPr>
        <w:t xml:space="preserve">přenosové a </w:t>
      </w:r>
      <w:r w:rsidR="00A813BE">
        <w:rPr>
          <w:sz w:val="22"/>
          <w:szCs w:val="22"/>
        </w:rPr>
        <w:t xml:space="preserve">distribuční </w:t>
      </w:r>
      <w:r w:rsidRPr="006E00D2">
        <w:rPr>
          <w:sz w:val="22"/>
          <w:szCs w:val="22"/>
        </w:rPr>
        <w:t>sítě</w:t>
      </w:r>
      <w:r>
        <w:rPr>
          <w:sz w:val="22"/>
          <w:szCs w:val="22"/>
        </w:rPr>
        <w:t>,</w:t>
      </w:r>
    </w:p>
    <w:p w14:paraId="210A20BB" w14:textId="49831071" w:rsidR="00147BE7" w:rsidRDefault="00147BE7" w:rsidP="00A813BE">
      <w:pPr>
        <w:pStyle w:val="Odstavecseseznamem"/>
        <w:numPr>
          <w:ilvl w:val="0"/>
          <w:numId w:val="14"/>
        </w:numPr>
        <w:spacing w:line="276" w:lineRule="auto"/>
        <w:ind w:left="567" w:hanging="284"/>
        <w:jc w:val="both"/>
      </w:pPr>
      <w:r w:rsidRPr="009E60B1">
        <w:rPr>
          <w:sz w:val="22"/>
          <w:szCs w:val="22"/>
        </w:rPr>
        <w:t xml:space="preserve">zhodnocení plnění plánu údržby a obnovy v návaznosti na roční přípravu provozu </w:t>
      </w:r>
      <w:r w:rsidR="00256B6F">
        <w:rPr>
          <w:sz w:val="22"/>
          <w:szCs w:val="22"/>
        </w:rPr>
        <w:t xml:space="preserve">přenosové a </w:t>
      </w:r>
      <w:r w:rsidR="00A813BE">
        <w:rPr>
          <w:sz w:val="22"/>
          <w:szCs w:val="22"/>
        </w:rPr>
        <w:t>distribuční</w:t>
      </w:r>
      <w:r w:rsidR="00A813BE" w:rsidRPr="009E60B1">
        <w:rPr>
          <w:sz w:val="22"/>
          <w:szCs w:val="22"/>
        </w:rPr>
        <w:t xml:space="preserve"> </w:t>
      </w:r>
      <w:r w:rsidRPr="009E60B1">
        <w:rPr>
          <w:sz w:val="22"/>
          <w:szCs w:val="22"/>
        </w:rPr>
        <w:t>soustavy</w:t>
      </w:r>
      <w:r>
        <w:t>,</w:t>
      </w:r>
    </w:p>
    <w:p w14:paraId="1C966BD8" w14:textId="77777777" w:rsidR="00147BE7" w:rsidRDefault="00147BE7" w:rsidP="00A813BE">
      <w:pPr>
        <w:pStyle w:val="Odstavecseseznamem"/>
        <w:numPr>
          <w:ilvl w:val="0"/>
          <w:numId w:val="14"/>
        </w:numPr>
        <w:spacing w:after="240"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popis metod a postupů preventivní údržby včetně způsobu stanovení lhůt pro provádění preventivní údržby,</w:t>
      </w:r>
    </w:p>
    <w:p w14:paraId="51B40300" w14:textId="52C1DC16" w:rsidR="00147BE7" w:rsidRDefault="005C0BE4" w:rsidP="00A813BE">
      <w:pPr>
        <w:pStyle w:val="Odstavecseseznamem"/>
        <w:numPr>
          <w:ilvl w:val="0"/>
          <w:numId w:val="14"/>
        </w:numPr>
        <w:spacing w:after="240"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uvede se</w:t>
      </w:r>
      <w:r w:rsidR="00616AC2">
        <w:rPr>
          <w:sz w:val="22"/>
          <w:szCs w:val="22"/>
        </w:rPr>
        <w:t>,</w:t>
      </w:r>
      <w:r>
        <w:rPr>
          <w:sz w:val="22"/>
          <w:szCs w:val="22"/>
        </w:rPr>
        <w:t xml:space="preserve"> zda je údržba prováděna z vlastních zdrojů nebo z cizích zdrojů, případně obojí</w:t>
      </w:r>
      <w:r w:rsidR="00147BE7">
        <w:rPr>
          <w:sz w:val="22"/>
          <w:szCs w:val="22"/>
        </w:rPr>
        <w:t>,</w:t>
      </w:r>
    </w:p>
    <w:p w14:paraId="01E4066C" w14:textId="1584EDAE" w:rsidR="00147BE7" w:rsidRDefault="005C0BE4" w:rsidP="00A813BE">
      <w:pPr>
        <w:pStyle w:val="Odstavecseseznamem"/>
        <w:numPr>
          <w:ilvl w:val="0"/>
          <w:numId w:val="14"/>
        </w:numPr>
        <w:spacing w:after="240"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vlastních pracovníků pro provádění údržby, byla-li údržba provedena z vlastních zdrojů dle písm. g) </w:t>
      </w:r>
      <w:r w:rsidR="00147BE7">
        <w:rPr>
          <w:sz w:val="22"/>
          <w:szCs w:val="22"/>
        </w:rPr>
        <w:t>smluvního vztahu,</w:t>
      </w:r>
    </w:p>
    <w:p w14:paraId="23D71489" w14:textId="722513ED" w:rsidR="0049725B" w:rsidRDefault="00147BE7" w:rsidP="00A813BE">
      <w:pPr>
        <w:pStyle w:val="Odstavecseseznamem"/>
        <w:numPr>
          <w:ilvl w:val="0"/>
          <w:numId w:val="14"/>
        </w:numPr>
        <w:spacing w:after="240"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celkový počet a doba trvání naplánovaných údržbových prací, celkový počet a </w:t>
      </w:r>
      <w:r w:rsidR="005C0BE4">
        <w:rPr>
          <w:sz w:val="22"/>
          <w:szCs w:val="22"/>
        </w:rPr>
        <w:t>doba</w:t>
      </w:r>
      <w:r w:rsidR="00616AC2">
        <w:rPr>
          <w:sz w:val="22"/>
          <w:szCs w:val="22"/>
        </w:rPr>
        <w:t xml:space="preserve"> </w:t>
      </w:r>
      <w:r>
        <w:rPr>
          <w:sz w:val="22"/>
          <w:szCs w:val="22"/>
        </w:rPr>
        <w:t>trvaní provedených preventivních údržbových prací</w:t>
      </w:r>
      <w:r w:rsidR="000C0386" w:rsidRPr="00147BE7">
        <w:rPr>
          <w:sz w:val="22"/>
          <w:szCs w:val="22"/>
        </w:rPr>
        <w:t>.</w:t>
      </w:r>
    </w:p>
    <w:p w14:paraId="7CF604F9" w14:textId="3C4035E9" w:rsidR="00A813BE" w:rsidRPr="00147BE7" w:rsidRDefault="00A813BE" w:rsidP="00A813BE">
      <w:pPr>
        <w:pStyle w:val="Odstavecseseznamem"/>
        <w:numPr>
          <w:ilvl w:val="0"/>
          <w:numId w:val="14"/>
        </w:numPr>
        <w:spacing w:after="240"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celkový počet naplánovaných hodin provádění preventivní údržby, </w:t>
      </w:r>
      <w:r w:rsidR="00E80932">
        <w:rPr>
          <w:sz w:val="22"/>
          <w:szCs w:val="22"/>
        </w:rPr>
        <w:t xml:space="preserve">celkový počet naplánovaných hodin vypnutí zařízení, na kterém se provádí preventivní údržba, </w:t>
      </w:r>
      <w:r>
        <w:rPr>
          <w:sz w:val="22"/>
          <w:szCs w:val="22"/>
        </w:rPr>
        <w:t>celkový počet naplánovaných hodin přerušení dodávky při provádění preventivní údržby, skutečný počet přerušení dodávky při provádění preventivní údržby</w:t>
      </w:r>
      <w:r w:rsidR="00E80932">
        <w:rPr>
          <w:sz w:val="22"/>
          <w:szCs w:val="22"/>
        </w:rPr>
        <w:t>, počet hodin provádění preventivní údržby na zařízení pod napětím</w:t>
      </w:r>
    </w:p>
    <w:p w14:paraId="0D3B8133" w14:textId="47D6B97E" w:rsidR="0049725B" w:rsidRPr="00B730AB" w:rsidRDefault="00D046D8" w:rsidP="00D046D8">
      <w:pPr>
        <w:jc w:val="both"/>
        <w:rPr>
          <w:rFonts w:ascii="Times New Roman" w:hAnsi="Times New Roman" w:cs="Times New Roman"/>
          <w:b/>
        </w:rPr>
      </w:pPr>
      <w:r w:rsidRPr="00B730AB">
        <w:rPr>
          <w:rFonts w:ascii="Times New Roman" w:hAnsi="Times New Roman" w:cs="Times New Roman"/>
          <w:b/>
        </w:rPr>
        <w:t xml:space="preserve">3) </w:t>
      </w:r>
      <w:r w:rsidR="0049725B" w:rsidRPr="00B730AB">
        <w:rPr>
          <w:rFonts w:ascii="Times New Roman" w:hAnsi="Times New Roman" w:cs="Times New Roman"/>
          <w:b/>
        </w:rPr>
        <w:t xml:space="preserve">Ukazatele za účelem hodnocení úrovně údržby </w:t>
      </w:r>
    </w:p>
    <w:p w14:paraId="3ED83933" w14:textId="4C486A6A" w:rsidR="00147BE7" w:rsidRPr="006E00D2" w:rsidRDefault="00147BE7" w:rsidP="00147BE7">
      <w:pPr>
        <w:pStyle w:val="Odstavecseseznamem"/>
        <w:numPr>
          <w:ilvl w:val="0"/>
          <w:numId w:val="15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6E00D2">
        <w:rPr>
          <w:sz w:val="22"/>
          <w:szCs w:val="22"/>
        </w:rPr>
        <w:t xml:space="preserve">celkový počet poruch na zařízeních </w:t>
      </w:r>
      <w:r w:rsidR="00256B6F">
        <w:rPr>
          <w:sz w:val="22"/>
          <w:szCs w:val="22"/>
        </w:rPr>
        <w:t xml:space="preserve">přenosové a </w:t>
      </w:r>
      <w:r w:rsidR="00A813BE">
        <w:rPr>
          <w:sz w:val="22"/>
          <w:szCs w:val="22"/>
        </w:rPr>
        <w:t>distribuční</w:t>
      </w:r>
      <w:r w:rsidR="00A813BE" w:rsidRPr="006E00D2">
        <w:rPr>
          <w:sz w:val="22"/>
          <w:szCs w:val="22"/>
        </w:rPr>
        <w:t xml:space="preserve"> </w:t>
      </w:r>
      <w:r w:rsidRPr="006E00D2">
        <w:rPr>
          <w:sz w:val="22"/>
          <w:szCs w:val="22"/>
        </w:rPr>
        <w:t>soustavy, na kterých byly prováděny vlastní údržbové práce,</w:t>
      </w:r>
    </w:p>
    <w:p w14:paraId="081731CC" w14:textId="2750C7DF" w:rsidR="00147BE7" w:rsidRPr="006E00D2" w:rsidRDefault="00147BE7" w:rsidP="00147BE7">
      <w:pPr>
        <w:pStyle w:val="Odstavecseseznamem"/>
        <w:numPr>
          <w:ilvl w:val="0"/>
          <w:numId w:val="15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6E00D2">
        <w:rPr>
          <w:sz w:val="22"/>
          <w:szCs w:val="22"/>
        </w:rPr>
        <w:t xml:space="preserve">počet poruch vzniklých cizím zaviněním na zařízeních </w:t>
      </w:r>
      <w:r w:rsidR="00256B6F">
        <w:rPr>
          <w:sz w:val="22"/>
          <w:szCs w:val="22"/>
        </w:rPr>
        <w:t xml:space="preserve">přenosové a </w:t>
      </w:r>
      <w:r w:rsidR="00A813BE">
        <w:rPr>
          <w:sz w:val="22"/>
          <w:szCs w:val="22"/>
        </w:rPr>
        <w:t>distribuční</w:t>
      </w:r>
      <w:r w:rsidR="00A813BE" w:rsidRPr="006E00D2">
        <w:rPr>
          <w:sz w:val="22"/>
          <w:szCs w:val="22"/>
        </w:rPr>
        <w:t xml:space="preserve"> </w:t>
      </w:r>
      <w:r w:rsidRPr="006E00D2">
        <w:rPr>
          <w:sz w:val="22"/>
          <w:szCs w:val="22"/>
        </w:rPr>
        <w:t>soustavy, na kterých byly prováděny vlastní údržbové práce,</w:t>
      </w:r>
    </w:p>
    <w:p w14:paraId="7CDE1188" w14:textId="506352C9" w:rsidR="00147BE7" w:rsidRPr="006E00D2" w:rsidRDefault="00147BE7" w:rsidP="00147BE7">
      <w:pPr>
        <w:pStyle w:val="Odstavecseseznamem"/>
        <w:numPr>
          <w:ilvl w:val="0"/>
          <w:numId w:val="15"/>
        </w:numPr>
        <w:spacing w:before="100" w:beforeAutospacing="1" w:after="240" w:line="276" w:lineRule="auto"/>
        <w:ind w:left="567" w:hanging="283"/>
        <w:jc w:val="both"/>
        <w:rPr>
          <w:sz w:val="22"/>
          <w:szCs w:val="22"/>
        </w:rPr>
      </w:pPr>
      <w:r w:rsidRPr="006E00D2">
        <w:rPr>
          <w:sz w:val="22"/>
          <w:szCs w:val="22"/>
        </w:rPr>
        <w:t xml:space="preserve">celkový počet poruch na zařízeních </w:t>
      </w:r>
      <w:r w:rsidR="00256B6F">
        <w:rPr>
          <w:sz w:val="22"/>
          <w:szCs w:val="22"/>
        </w:rPr>
        <w:t xml:space="preserve">přenosové a </w:t>
      </w:r>
      <w:r w:rsidR="00A813BE">
        <w:rPr>
          <w:sz w:val="22"/>
          <w:szCs w:val="22"/>
        </w:rPr>
        <w:t>distribuční</w:t>
      </w:r>
      <w:r w:rsidR="00A813BE" w:rsidRPr="006E00D2">
        <w:rPr>
          <w:sz w:val="22"/>
          <w:szCs w:val="22"/>
        </w:rPr>
        <w:t xml:space="preserve"> </w:t>
      </w:r>
      <w:r w:rsidRPr="006E00D2">
        <w:rPr>
          <w:sz w:val="22"/>
          <w:szCs w:val="22"/>
        </w:rPr>
        <w:t>soustavy, na kterých byly prováděny externí údržbové práce,</w:t>
      </w:r>
    </w:p>
    <w:p w14:paraId="6E5397F9" w14:textId="7A13C41C" w:rsidR="00147BE7" w:rsidRPr="006E00D2" w:rsidRDefault="00147BE7" w:rsidP="00147BE7">
      <w:pPr>
        <w:pStyle w:val="Odstavecseseznamem"/>
        <w:numPr>
          <w:ilvl w:val="0"/>
          <w:numId w:val="15"/>
        </w:numPr>
        <w:spacing w:before="100" w:beforeAutospacing="1" w:after="240" w:line="276" w:lineRule="auto"/>
        <w:ind w:left="567" w:hanging="283"/>
        <w:jc w:val="both"/>
        <w:rPr>
          <w:sz w:val="22"/>
          <w:szCs w:val="22"/>
        </w:rPr>
      </w:pPr>
      <w:r w:rsidRPr="006E00D2">
        <w:rPr>
          <w:sz w:val="22"/>
          <w:szCs w:val="22"/>
        </w:rPr>
        <w:t xml:space="preserve">počet poruch vzniklých cizím zaviněním na zařízení </w:t>
      </w:r>
      <w:r w:rsidR="00256B6F">
        <w:rPr>
          <w:sz w:val="22"/>
          <w:szCs w:val="22"/>
        </w:rPr>
        <w:t xml:space="preserve">přenosové a </w:t>
      </w:r>
      <w:r w:rsidR="00A813BE">
        <w:rPr>
          <w:sz w:val="22"/>
          <w:szCs w:val="22"/>
        </w:rPr>
        <w:t>distribuční</w:t>
      </w:r>
      <w:r w:rsidR="00A813BE" w:rsidRPr="006E00D2">
        <w:rPr>
          <w:sz w:val="22"/>
          <w:szCs w:val="22"/>
        </w:rPr>
        <w:t xml:space="preserve"> </w:t>
      </w:r>
      <w:r w:rsidRPr="006E00D2">
        <w:rPr>
          <w:sz w:val="22"/>
          <w:szCs w:val="22"/>
        </w:rPr>
        <w:t>soustavy, na kterém byly prováděny externí údržbové práce,</w:t>
      </w:r>
    </w:p>
    <w:p w14:paraId="5C86D6E6" w14:textId="0947C376" w:rsidR="003F3312" w:rsidRDefault="00147BE7" w:rsidP="00147BE7">
      <w:pPr>
        <w:pStyle w:val="Odstavecseseznamem"/>
        <w:numPr>
          <w:ilvl w:val="0"/>
          <w:numId w:val="15"/>
        </w:numPr>
        <w:spacing w:before="100" w:beforeAutospacing="1" w:after="240" w:line="276" w:lineRule="auto"/>
        <w:ind w:left="567" w:hanging="283"/>
        <w:jc w:val="both"/>
        <w:rPr>
          <w:sz w:val="22"/>
          <w:szCs w:val="22"/>
        </w:rPr>
      </w:pPr>
      <w:r w:rsidRPr="006E00D2">
        <w:rPr>
          <w:sz w:val="22"/>
          <w:szCs w:val="22"/>
        </w:rPr>
        <w:t>počet transformátorů</w:t>
      </w:r>
      <w:r w:rsidR="003F3312">
        <w:rPr>
          <w:sz w:val="22"/>
          <w:szCs w:val="22"/>
        </w:rPr>
        <w:t xml:space="preserve"> </w:t>
      </w:r>
      <w:r w:rsidR="00E305B6">
        <w:rPr>
          <w:sz w:val="22"/>
          <w:szCs w:val="22"/>
        </w:rPr>
        <w:t xml:space="preserve">a tlumivek </w:t>
      </w:r>
      <w:r w:rsidR="003F3312">
        <w:rPr>
          <w:sz w:val="22"/>
          <w:szCs w:val="22"/>
        </w:rPr>
        <w:t>dle napěťové hladiny (</w:t>
      </w:r>
      <w:proofErr w:type="spellStart"/>
      <w:r w:rsidR="003F3312">
        <w:rPr>
          <w:sz w:val="22"/>
          <w:szCs w:val="22"/>
        </w:rPr>
        <w:t>zvn</w:t>
      </w:r>
      <w:proofErr w:type="spellEnd"/>
      <w:r w:rsidR="003F3312">
        <w:rPr>
          <w:sz w:val="22"/>
          <w:szCs w:val="22"/>
        </w:rPr>
        <w:t>/</w:t>
      </w:r>
      <w:proofErr w:type="spellStart"/>
      <w:r w:rsidR="003F3312">
        <w:rPr>
          <w:sz w:val="22"/>
          <w:szCs w:val="22"/>
        </w:rPr>
        <w:t>vvn</w:t>
      </w:r>
      <w:proofErr w:type="spellEnd"/>
      <w:r w:rsidR="003F3312">
        <w:rPr>
          <w:sz w:val="22"/>
          <w:szCs w:val="22"/>
        </w:rPr>
        <w:t xml:space="preserve">, </w:t>
      </w:r>
      <w:proofErr w:type="spellStart"/>
      <w:r w:rsidR="003F3312">
        <w:rPr>
          <w:sz w:val="22"/>
          <w:szCs w:val="22"/>
        </w:rPr>
        <w:t>vvn</w:t>
      </w:r>
      <w:proofErr w:type="spellEnd"/>
      <w:r w:rsidR="003F3312">
        <w:rPr>
          <w:sz w:val="22"/>
          <w:szCs w:val="22"/>
        </w:rPr>
        <w:t>/</w:t>
      </w:r>
      <w:proofErr w:type="spellStart"/>
      <w:r w:rsidR="003F3312">
        <w:rPr>
          <w:sz w:val="22"/>
          <w:szCs w:val="22"/>
        </w:rPr>
        <w:t>vn</w:t>
      </w:r>
      <w:proofErr w:type="spellEnd"/>
      <w:r w:rsidR="003F3312">
        <w:rPr>
          <w:sz w:val="22"/>
          <w:szCs w:val="22"/>
        </w:rPr>
        <w:t xml:space="preserve">, </w:t>
      </w:r>
      <w:proofErr w:type="spellStart"/>
      <w:r w:rsidR="003F3312">
        <w:rPr>
          <w:sz w:val="22"/>
          <w:szCs w:val="22"/>
        </w:rPr>
        <w:t>vn</w:t>
      </w:r>
      <w:proofErr w:type="spellEnd"/>
      <w:r w:rsidR="003F3312">
        <w:rPr>
          <w:sz w:val="22"/>
          <w:szCs w:val="22"/>
        </w:rPr>
        <w:t>/</w:t>
      </w:r>
      <w:proofErr w:type="spellStart"/>
      <w:r w:rsidR="003F3312">
        <w:rPr>
          <w:sz w:val="22"/>
          <w:szCs w:val="22"/>
        </w:rPr>
        <w:t>nn</w:t>
      </w:r>
      <w:proofErr w:type="spellEnd"/>
      <w:r w:rsidR="003F3312">
        <w:rPr>
          <w:sz w:val="22"/>
          <w:szCs w:val="22"/>
        </w:rPr>
        <w:t>, jiné)</w:t>
      </w:r>
      <w:r w:rsidRPr="006E00D2">
        <w:rPr>
          <w:sz w:val="22"/>
          <w:szCs w:val="22"/>
        </w:rPr>
        <w:t>,</w:t>
      </w:r>
    </w:p>
    <w:p w14:paraId="17FA182E" w14:textId="45B3718F" w:rsidR="00147BE7" w:rsidRPr="00616AC2" w:rsidRDefault="005C0BE4" w:rsidP="00616AC2">
      <w:pPr>
        <w:pStyle w:val="Odstavecseseznamem"/>
        <w:numPr>
          <w:ilvl w:val="0"/>
          <w:numId w:val="15"/>
        </w:numPr>
        <w:spacing w:before="100" w:beforeAutospacing="1" w:after="24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="00147BE7">
        <w:rPr>
          <w:sz w:val="22"/>
          <w:szCs w:val="22"/>
        </w:rPr>
        <w:t>spínacích zařízení a</w:t>
      </w:r>
      <w:r w:rsidR="00147BE7" w:rsidRPr="006E00D2">
        <w:rPr>
          <w:sz w:val="22"/>
          <w:szCs w:val="22"/>
        </w:rPr>
        <w:t xml:space="preserve"> </w:t>
      </w:r>
      <w:r w:rsidR="00147BE7">
        <w:rPr>
          <w:sz w:val="22"/>
          <w:szCs w:val="22"/>
        </w:rPr>
        <w:t>délku</w:t>
      </w:r>
      <w:r w:rsidR="00147BE7" w:rsidRPr="006E00D2">
        <w:rPr>
          <w:sz w:val="22"/>
          <w:szCs w:val="22"/>
        </w:rPr>
        <w:t xml:space="preserve"> kabelových vedení podle členění </w:t>
      </w:r>
      <w:r w:rsidR="00616AC2">
        <w:rPr>
          <w:sz w:val="22"/>
          <w:szCs w:val="22"/>
        </w:rPr>
        <w:t>vzoru</w:t>
      </w:r>
      <w:r w:rsidR="00616AC2" w:rsidRPr="00616AC2">
        <w:rPr>
          <w:sz w:val="22"/>
          <w:szCs w:val="22"/>
        </w:rPr>
        <w:t xml:space="preserve"> </w:t>
      </w:r>
      <w:r w:rsidR="00616AC2">
        <w:rPr>
          <w:sz w:val="22"/>
          <w:szCs w:val="22"/>
        </w:rPr>
        <w:t>Zprávy o kvalitě a úrovni údržby zařízení přenosové a distribuční soustavy</w:t>
      </w:r>
      <w:r w:rsidR="00147BE7" w:rsidRPr="00616AC2">
        <w:t>.</w:t>
      </w:r>
    </w:p>
    <w:p w14:paraId="707E65C3" w14:textId="1D1BA5BC" w:rsidR="0049725B" w:rsidRPr="00B730AB" w:rsidRDefault="00147BE7" w:rsidP="00147BE7">
      <w:pPr>
        <w:spacing w:before="100" w:beforeAutospacing="1" w:after="240"/>
        <w:jc w:val="both"/>
        <w:rPr>
          <w:rFonts w:ascii="Times New Roman" w:hAnsi="Times New Roman" w:cs="Times New Roman"/>
          <w:b/>
        </w:rPr>
      </w:pPr>
      <w:r w:rsidRPr="006E00D2">
        <w:rPr>
          <w:rFonts w:ascii="Times New Roman" w:hAnsi="Times New Roman" w:cs="Times New Roman"/>
          <w:bCs/>
        </w:rPr>
        <w:t xml:space="preserve"> </w:t>
      </w:r>
      <w:r w:rsidR="00D046D8" w:rsidRPr="00B730AB">
        <w:rPr>
          <w:rFonts w:ascii="Times New Roman" w:hAnsi="Times New Roman" w:cs="Times New Roman"/>
          <w:b/>
          <w:bCs/>
        </w:rPr>
        <w:t xml:space="preserve">4) </w:t>
      </w:r>
      <w:r w:rsidR="0049725B" w:rsidRPr="00B730AB">
        <w:rPr>
          <w:rFonts w:ascii="Times New Roman" w:hAnsi="Times New Roman" w:cs="Times New Roman"/>
          <w:b/>
          <w:bCs/>
        </w:rPr>
        <w:t>Ekonomické údaje</w:t>
      </w:r>
    </w:p>
    <w:p w14:paraId="3C12EDDD" w14:textId="076E48F2" w:rsidR="004E32CF" w:rsidRPr="006E00D2" w:rsidRDefault="004E32CF" w:rsidP="000C0386">
      <w:pPr>
        <w:pStyle w:val="Odstavecseseznamem"/>
        <w:numPr>
          <w:ilvl w:val="0"/>
          <w:numId w:val="1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6E00D2">
        <w:rPr>
          <w:sz w:val="22"/>
          <w:szCs w:val="22"/>
        </w:rPr>
        <w:t xml:space="preserve">plánované a skutečné náklady na údržbu, skutečné náklady na opravy na základě vyhodnocení preventivní údržby, skutečné náklady na opravy provedené po poruše, skutečné náklady na technické </w:t>
      </w:r>
      <w:r w:rsidR="006E00D2" w:rsidRPr="006E00D2">
        <w:rPr>
          <w:sz w:val="22"/>
          <w:szCs w:val="22"/>
        </w:rPr>
        <w:t>zhodnocení</w:t>
      </w:r>
      <w:r w:rsidRPr="006E00D2">
        <w:rPr>
          <w:sz w:val="22"/>
          <w:szCs w:val="22"/>
        </w:rPr>
        <w:t xml:space="preserve"> na základě vyhodnocení preventivní údržby, zařízení </w:t>
      </w:r>
      <w:r w:rsidR="00256B6F">
        <w:rPr>
          <w:sz w:val="22"/>
          <w:szCs w:val="22"/>
        </w:rPr>
        <w:t xml:space="preserve">přenosové a </w:t>
      </w:r>
      <w:r w:rsidR="00E80932">
        <w:rPr>
          <w:sz w:val="22"/>
          <w:szCs w:val="22"/>
        </w:rPr>
        <w:t>distribuční</w:t>
      </w:r>
      <w:r w:rsidR="00E80932" w:rsidRPr="006E00D2">
        <w:rPr>
          <w:sz w:val="22"/>
          <w:szCs w:val="22"/>
        </w:rPr>
        <w:t xml:space="preserve"> </w:t>
      </w:r>
      <w:r w:rsidRPr="006E00D2">
        <w:rPr>
          <w:sz w:val="22"/>
          <w:szCs w:val="22"/>
        </w:rPr>
        <w:t xml:space="preserve">soustavy a účetní zůstatkovou hodnotu zařízení </w:t>
      </w:r>
      <w:r w:rsidR="00256B6F">
        <w:rPr>
          <w:sz w:val="22"/>
          <w:szCs w:val="22"/>
        </w:rPr>
        <w:t>přenosové a</w:t>
      </w:r>
      <w:r w:rsidR="00256B6F" w:rsidRPr="006E00D2">
        <w:rPr>
          <w:sz w:val="22"/>
          <w:szCs w:val="22"/>
        </w:rPr>
        <w:t xml:space="preserve"> </w:t>
      </w:r>
      <w:r w:rsidRPr="006E00D2">
        <w:rPr>
          <w:sz w:val="22"/>
          <w:szCs w:val="22"/>
        </w:rPr>
        <w:t>distribuční soustavy,</w:t>
      </w:r>
    </w:p>
    <w:p w14:paraId="44BA46AD" w14:textId="1147C181" w:rsidR="006079C3" w:rsidRPr="004361D6" w:rsidRDefault="006E00D2" w:rsidP="00785869">
      <w:pPr>
        <w:pStyle w:val="Odstavecseseznamem"/>
        <w:numPr>
          <w:ilvl w:val="0"/>
          <w:numId w:val="1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4361D6">
        <w:rPr>
          <w:sz w:val="22"/>
          <w:szCs w:val="22"/>
        </w:rPr>
        <w:t>skutečn</w:t>
      </w:r>
      <w:r w:rsidR="00E42B4F" w:rsidRPr="004361D6">
        <w:rPr>
          <w:sz w:val="22"/>
          <w:szCs w:val="22"/>
        </w:rPr>
        <w:t>é</w:t>
      </w:r>
      <w:r w:rsidRPr="004361D6">
        <w:rPr>
          <w:sz w:val="22"/>
          <w:szCs w:val="22"/>
        </w:rPr>
        <w:t xml:space="preserve"> </w:t>
      </w:r>
      <w:r w:rsidR="004E32CF" w:rsidRPr="004361D6">
        <w:rPr>
          <w:sz w:val="22"/>
          <w:szCs w:val="22"/>
        </w:rPr>
        <w:t xml:space="preserve">náklady na údržbu prováděnou provozovatelem </w:t>
      </w:r>
      <w:r w:rsidR="00256B6F" w:rsidRPr="004361D6">
        <w:rPr>
          <w:sz w:val="22"/>
          <w:szCs w:val="22"/>
        </w:rPr>
        <w:t xml:space="preserve">přenosové a </w:t>
      </w:r>
      <w:r w:rsidR="00E80932" w:rsidRPr="004361D6">
        <w:rPr>
          <w:sz w:val="22"/>
          <w:szCs w:val="22"/>
        </w:rPr>
        <w:t xml:space="preserve">distribuční </w:t>
      </w:r>
      <w:r w:rsidR="004E32CF" w:rsidRPr="004361D6">
        <w:rPr>
          <w:sz w:val="22"/>
          <w:szCs w:val="22"/>
        </w:rPr>
        <w:t>soustavy (tj. vlastní údržba) a náklady na údržbu prováděnou extern</w:t>
      </w:r>
      <w:r w:rsidR="00E42B4F" w:rsidRPr="004361D6">
        <w:rPr>
          <w:sz w:val="22"/>
          <w:szCs w:val="22"/>
        </w:rPr>
        <w:t>ě</w:t>
      </w:r>
      <w:r w:rsidR="004E32CF" w:rsidRPr="004361D6">
        <w:rPr>
          <w:sz w:val="22"/>
          <w:szCs w:val="22"/>
        </w:rPr>
        <w:t>,</w:t>
      </w:r>
      <w:r w:rsidRPr="004361D6">
        <w:rPr>
          <w:sz w:val="22"/>
          <w:szCs w:val="22"/>
        </w:rPr>
        <w:t xml:space="preserve"> skutečné náklady na opravy na základě vyhodnocení preventivní údržby,</w:t>
      </w:r>
      <w:r w:rsidR="004E32CF" w:rsidRPr="004361D6">
        <w:rPr>
          <w:sz w:val="22"/>
          <w:szCs w:val="22"/>
        </w:rPr>
        <w:t xml:space="preserve"> skutečné náklady na opravy provedené po poruše, skutečné náklady na technické </w:t>
      </w:r>
      <w:r w:rsidRPr="004361D6">
        <w:rPr>
          <w:sz w:val="22"/>
          <w:szCs w:val="22"/>
        </w:rPr>
        <w:t>zhodnocení</w:t>
      </w:r>
      <w:r w:rsidR="004E32CF" w:rsidRPr="004361D6">
        <w:rPr>
          <w:sz w:val="22"/>
          <w:szCs w:val="22"/>
        </w:rPr>
        <w:t xml:space="preserve"> na základě vyhodnocení preventivní údržby</w:t>
      </w:r>
      <w:r w:rsidR="001C5B74" w:rsidRPr="004361D6">
        <w:rPr>
          <w:sz w:val="22"/>
          <w:szCs w:val="22"/>
        </w:rPr>
        <w:t>.</w:t>
      </w:r>
    </w:p>
    <w:p w14:paraId="1767BE58" w14:textId="35983DFF" w:rsidR="003D7119" w:rsidRDefault="003D7119" w:rsidP="00D41900">
      <w:pPr>
        <w:jc w:val="center"/>
        <w:rPr>
          <w:rFonts w:ascii="Times New Roman" w:hAnsi="Times New Roman" w:cs="Times New Roman"/>
          <w:b/>
        </w:rPr>
      </w:pPr>
    </w:p>
    <w:p w14:paraId="01FDF18A" w14:textId="3E845D28" w:rsidR="008F5F19" w:rsidRPr="003541AE" w:rsidRDefault="008F5F19" w:rsidP="00D41900">
      <w:pPr>
        <w:jc w:val="center"/>
        <w:rPr>
          <w:rFonts w:ascii="Times New Roman" w:hAnsi="Times New Roman" w:cs="Times New Roman"/>
          <w:b/>
        </w:rPr>
      </w:pPr>
      <w:r w:rsidRPr="003541AE">
        <w:rPr>
          <w:rFonts w:ascii="Times New Roman" w:hAnsi="Times New Roman" w:cs="Times New Roman"/>
          <w:b/>
        </w:rPr>
        <w:t xml:space="preserve">ZPRÁVA O KVALITĚ A ÚROVNI ÚDRŽBY ZAŘÍZENÍ </w:t>
      </w:r>
      <w:r w:rsidR="00616AC2">
        <w:rPr>
          <w:rFonts w:ascii="Times New Roman" w:hAnsi="Times New Roman" w:cs="Times New Roman"/>
          <w:b/>
        </w:rPr>
        <w:t xml:space="preserve">PŘENOSOVÉ A </w:t>
      </w:r>
      <w:r w:rsidRPr="003541AE">
        <w:rPr>
          <w:rFonts w:ascii="Times New Roman" w:hAnsi="Times New Roman" w:cs="Times New Roman"/>
          <w:b/>
        </w:rPr>
        <w:t>DISTRIBUČNÍ SOUSTAVY</w:t>
      </w:r>
    </w:p>
    <w:p w14:paraId="0627FE1F" w14:textId="61432651" w:rsidR="00EA76B3" w:rsidRPr="003541AE" w:rsidRDefault="008F5F19" w:rsidP="00EA76B3">
      <w:pPr>
        <w:jc w:val="center"/>
        <w:rPr>
          <w:rFonts w:ascii="Times New Roman" w:hAnsi="Times New Roman" w:cs="Times New Roman"/>
        </w:rPr>
      </w:pPr>
      <w:r w:rsidRPr="003541AE">
        <w:rPr>
          <w:rFonts w:ascii="Times New Roman" w:hAnsi="Times New Roman" w:cs="Times New Roman"/>
        </w:rPr>
        <w:t xml:space="preserve">podle </w:t>
      </w:r>
      <w:r w:rsidR="00616AC2">
        <w:rPr>
          <w:rFonts w:ascii="Times New Roman" w:hAnsi="Times New Roman" w:cs="Times New Roman"/>
        </w:rPr>
        <w:t xml:space="preserve">§ 24 odst. 10 písm. t) a </w:t>
      </w:r>
      <w:r w:rsidRPr="003541AE">
        <w:rPr>
          <w:rFonts w:ascii="Times New Roman" w:hAnsi="Times New Roman" w:cs="Times New Roman"/>
        </w:rPr>
        <w:t>§ 25 odst. 11 písm. c) zákona č. 458/2000 Sb., energetický zákon, ve znění pozdějších předpisů</w:t>
      </w:r>
    </w:p>
    <w:tbl>
      <w:tblPr>
        <w:tblpPr w:leftFromText="141" w:rightFromText="141" w:vertAnchor="text" w:tblpXSpec="center" w:tblpY="1"/>
        <w:tblOverlap w:val="never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23"/>
        <w:gridCol w:w="2952"/>
      </w:tblGrid>
      <w:tr w:rsidR="00EA76B3" w:rsidRPr="003541AE" w14:paraId="63ABC7B8" w14:textId="77777777" w:rsidTr="00D41900">
        <w:trPr>
          <w:trHeight w:val="283"/>
        </w:trPr>
        <w:tc>
          <w:tcPr>
            <w:tcW w:w="157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4CAD93" w14:textId="77777777" w:rsidR="00EA76B3" w:rsidRPr="003541AE" w:rsidRDefault="00EA76B3" w:rsidP="00D41900">
            <w:pPr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  <w:b/>
              </w:rPr>
              <w:t>IDENTIFIKAČNÍ ÚDAJE</w:t>
            </w:r>
          </w:p>
        </w:tc>
      </w:tr>
      <w:tr w:rsidR="00EA76B3" w:rsidRPr="003541AE" w14:paraId="3306C193" w14:textId="77777777" w:rsidTr="00D41900">
        <w:trPr>
          <w:trHeight w:val="283"/>
        </w:trPr>
        <w:tc>
          <w:tcPr>
            <w:tcW w:w="125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19BAE7" w14:textId="43ED530A" w:rsidR="00EA76B3" w:rsidRPr="003541AE" w:rsidRDefault="00EA76B3" w:rsidP="00E9427D">
            <w:pPr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Název vykazujícího subjektu:</w:t>
            </w:r>
            <w:r w:rsidR="000B1E55">
              <w:rPr>
                <w:rFonts w:ascii="Times New Roman" w:hAnsi="Times New Roman" w:cs="Times New Roman"/>
              </w:rPr>
              <w:t xml:space="preserve"> </w:t>
            </w:r>
            <w:r w:rsidR="00E9427D">
              <w:rPr>
                <w:rFonts w:ascii="Times New Roman" w:hAnsi="Times New Roman" w:cs="Times New Roman"/>
              </w:rPr>
              <w:t>FAWOO TECH CZ</w:t>
            </w:r>
            <w:r w:rsidR="000B1E55">
              <w:rPr>
                <w:rFonts w:ascii="Times New Roman" w:hAnsi="Times New Roman" w:cs="Times New Roman"/>
              </w:rPr>
              <w:t xml:space="preserve"> s.r.o.</w:t>
            </w:r>
          </w:p>
        </w:tc>
        <w:tc>
          <w:tcPr>
            <w:tcW w:w="31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2420B0" w14:textId="27FD9CE8" w:rsidR="00EA76B3" w:rsidRPr="003541AE" w:rsidRDefault="00EA76B3" w:rsidP="004261A5">
            <w:pPr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Vykazovaný rok:</w:t>
            </w:r>
            <w:r w:rsidR="000B1E55">
              <w:rPr>
                <w:rFonts w:ascii="Times New Roman" w:hAnsi="Times New Roman" w:cs="Times New Roman"/>
              </w:rPr>
              <w:t xml:space="preserve"> 202</w:t>
            </w:r>
            <w:r w:rsidR="004261A5">
              <w:rPr>
                <w:rFonts w:ascii="Times New Roman" w:hAnsi="Times New Roman" w:cs="Times New Roman"/>
              </w:rPr>
              <w:t>4</w:t>
            </w:r>
          </w:p>
        </w:tc>
      </w:tr>
      <w:tr w:rsidR="00EA76B3" w:rsidRPr="003541AE" w14:paraId="309EDA70" w14:textId="77777777" w:rsidTr="00D41900">
        <w:trPr>
          <w:trHeight w:val="283"/>
        </w:trPr>
        <w:tc>
          <w:tcPr>
            <w:tcW w:w="157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3D02BD" w14:textId="58DB5128" w:rsidR="00EA76B3" w:rsidRPr="003541AE" w:rsidRDefault="00EA76B3" w:rsidP="00E9427D">
            <w:pPr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 xml:space="preserve">Číslo licence: </w:t>
            </w:r>
            <w:r w:rsidR="00E9427D">
              <w:rPr>
                <w:rFonts w:ascii="Times New Roman" w:hAnsi="Times New Roman" w:cs="Times New Roman"/>
              </w:rPr>
              <w:t>121533586</w:t>
            </w:r>
          </w:p>
        </w:tc>
      </w:tr>
    </w:tbl>
    <w:p w14:paraId="592EC2FE" w14:textId="77777777" w:rsidR="00EA76B3" w:rsidRDefault="00EA76B3" w:rsidP="00EA76B3">
      <w:pPr>
        <w:rPr>
          <w:rFonts w:ascii="Times New Roman" w:hAnsi="Times New Roman" w:cs="Times New Roman"/>
        </w:rPr>
      </w:pPr>
    </w:p>
    <w:tbl>
      <w:tblPr>
        <w:tblStyle w:val="Mkatabulky"/>
        <w:tblW w:w="141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11377"/>
      </w:tblGrid>
      <w:tr w:rsidR="00147BE7" w:rsidRPr="003541AE" w14:paraId="55DD4B74" w14:textId="77777777" w:rsidTr="00785869">
        <w:trPr>
          <w:trHeight w:val="283"/>
          <w:jc w:val="center"/>
        </w:trPr>
        <w:tc>
          <w:tcPr>
            <w:tcW w:w="14175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1FB6EF9" w14:textId="77777777" w:rsidR="00147BE7" w:rsidRPr="003541AE" w:rsidRDefault="00147BE7" w:rsidP="00785869">
            <w:pPr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  <w:b/>
              </w:rPr>
              <w:t xml:space="preserve">INFORMACE O </w:t>
            </w:r>
            <w:r>
              <w:rPr>
                <w:rFonts w:ascii="Times New Roman" w:hAnsi="Times New Roman" w:cs="Times New Roman"/>
                <w:b/>
              </w:rPr>
              <w:t xml:space="preserve">STRATEGII A </w:t>
            </w:r>
            <w:r w:rsidRPr="003541AE">
              <w:rPr>
                <w:rFonts w:ascii="Times New Roman" w:hAnsi="Times New Roman" w:cs="Times New Roman"/>
                <w:b/>
              </w:rPr>
              <w:t>KONCEPCI ÚDRŽBY</w:t>
            </w:r>
            <w:r>
              <w:rPr>
                <w:rFonts w:ascii="Times New Roman" w:hAnsi="Times New Roman" w:cs="Times New Roman"/>
                <w:b/>
              </w:rPr>
              <w:t xml:space="preserve"> ELEKTRICKÝCH SÍTÍ</w:t>
            </w:r>
          </w:p>
        </w:tc>
      </w:tr>
      <w:tr w:rsidR="00147BE7" w:rsidRPr="003541AE" w14:paraId="4D591BC5" w14:textId="77777777" w:rsidTr="004361D6">
        <w:trPr>
          <w:trHeight w:val="5103"/>
          <w:jc w:val="center"/>
        </w:trPr>
        <w:tc>
          <w:tcPr>
            <w:tcW w:w="27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48ADE" w14:textId="4D23E539" w:rsidR="00147BE7" w:rsidRPr="00E305B6" w:rsidRDefault="00147BE7" w:rsidP="00785869">
            <w:pPr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t xml:space="preserve">Podle </w:t>
            </w:r>
            <w:r w:rsidR="00D046D8" w:rsidRPr="00E305B6">
              <w:rPr>
                <w:rFonts w:ascii="Times New Roman" w:hAnsi="Times New Roman" w:cs="Times New Roman"/>
                <w:b/>
              </w:rPr>
              <w:t>bodu</w:t>
            </w:r>
            <w:r w:rsidRPr="00E305B6">
              <w:rPr>
                <w:rFonts w:ascii="Times New Roman" w:hAnsi="Times New Roman" w:cs="Times New Roman"/>
                <w:b/>
              </w:rPr>
              <w:t xml:space="preserve"> 2 písm. a)</w:t>
            </w:r>
          </w:p>
        </w:tc>
        <w:tc>
          <w:tcPr>
            <w:tcW w:w="113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57D67BC" w14:textId="77777777" w:rsidR="00342B33" w:rsidRDefault="00342B33" w:rsidP="00785869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70C5515B" w14:textId="77777777" w:rsidR="00147BE7" w:rsidRDefault="00342B33" w:rsidP="00A83B18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Základní strategií pro zajištění spolehlivosti, bezpečnosti a kvality provozu LDS je postupná náhrada </w:t>
            </w:r>
            <w:r w:rsidR="00A83B18">
              <w:rPr>
                <w:rFonts w:ascii="Times New Roman" w:hAnsi="Times New Roman" w:cs="Times New Roman"/>
              </w:rPr>
              <w:t xml:space="preserve">starších zařízení spolu se systematickou modernizací, vše v závislosti na finančních možnostech a s maximálním využitím dotačních programů. </w:t>
            </w:r>
            <w:r>
              <w:rPr>
                <w:rFonts w:ascii="Times New Roman" w:hAnsi="Times New Roman" w:cs="Times New Roman"/>
              </w:rPr>
              <w:t>Údržbová strategie</w:t>
            </w:r>
            <w:r w:rsidR="00A83B18">
              <w:rPr>
                <w:rFonts w:ascii="Times New Roman" w:hAnsi="Times New Roman" w:cs="Times New Roman"/>
              </w:rPr>
              <w:t xml:space="preserve"> stávajících zařízení </w:t>
            </w:r>
            <w:r>
              <w:rPr>
                <w:rFonts w:ascii="Times New Roman" w:hAnsi="Times New Roman" w:cs="Times New Roman"/>
              </w:rPr>
              <w:t>vychází z dlouholetých zkušeností s provozem a údržbou te</w:t>
            </w:r>
            <w:r w:rsidR="00A83B18">
              <w:rPr>
                <w:rFonts w:ascii="Times New Roman" w:hAnsi="Times New Roman" w:cs="Times New Roman"/>
              </w:rPr>
              <w:t>chniky</w:t>
            </w:r>
            <w:r>
              <w:rPr>
                <w:rFonts w:ascii="Times New Roman" w:hAnsi="Times New Roman" w:cs="Times New Roman"/>
              </w:rPr>
              <w:t xml:space="preserve"> LDS. Osvědčily se postupy,</w:t>
            </w:r>
            <w:r w:rsidR="00A83B18">
              <w:rPr>
                <w:rFonts w:ascii="Times New Roman" w:hAnsi="Times New Roman" w:cs="Times New Roman"/>
              </w:rPr>
              <w:t xml:space="preserve"> podrobně </w:t>
            </w:r>
            <w:r>
              <w:rPr>
                <w:rFonts w:ascii="Times New Roman" w:hAnsi="Times New Roman" w:cs="Times New Roman"/>
              </w:rPr>
              <w:t>popsané v závazném dokumentu</w:t>
            </w:r>
            <w:r w:rsidR="00A83B18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 xml:space="preserve"> Řád preventivní údržby</w:t>
            </w:r>
            <w:r w:rsidR="00A83B18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A83B18">
              <w:rPr>
                <w:rFonts w:ascii="Times New Roman" w:hAnsi="Times New Roman" w:cs="Times New Roman"/>
              </w:rPr>
              <w:t xml:space="preserve">Další strategií je zlepšování kvality sítě, ve které dochází ke vzájemnému ovlivňování odběrných míst průmyslových provozů vybavených starší technologií </w:t>
            </w:r>
            <w:r w:rsidR="005A4658">
              <w:rPr>
                <w:rFonts w:ascii="Times New Roman" w:hAnsi="Times New Roman" w:cs="Times New Roman"/>
              </w:rPr>
              <w:t>a provozů vybavených technologií nejnovější. V této oblasti spolupracujeme s odbornými firmami a ČVUT.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2F036364" w14:textId="77777777" w:rsidR="00E9427D" w:rsidRDefault="00E9427D" w:rsidP="00E9427D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3008C5FA" w14:textId="77777777" w:rsidR="00E9427D" w:rsidRDefault="00E9427D" w:rsidP="00E9427D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5B9FC8B5" w14:textId="77777777" w:rsidR="00E9427D" w:rsidRDefault="00E9427D" w:rsidP="00E9427D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34702570" w14:textId="54BE9913" w:rsidR="00E9427D" w:rsidRPr="003541AE" w:rsidRDefault="00E9427D" w:rsidP="00E9427D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BE7" w:rsidRPr="003541AE" w14:paraId="473B8B9E" w14:textId="77777777" w:rsidTr="004361D6">
        <w:trPr>
          <w:trHeight w:val="5103"/>
          <w:jc w:val="center"/>
        </w:trPr>
        <w:tc>
          <w:tcPr>
            <w:tcW w:w="27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8B257D" w14:textId="0DD2561F" w:rsidR="00147BE7" w:rsidRPr="00E305B6" w:rsidRDefault="00147BE7" w:rsidP="00785869">
            <w:pPr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lastRenderedPageBreak/>
              <w:t xml:space="preserve">Podle </w:t>
            </w:r>
            <w:r w:rsidR="00D046D8" w:rsidRPr="00E305B6">
              <w:rPr>
                <w:rFonts w:ascii="Times New Roman" w:hAnsi="Times New Roman" w:cs="Times New Roman"/>
                <w:b/>
              </w:rPr>
              <w:t xml:space="preserve">bodu </w:t>
            </w:r>
            <w:r w:rsidRPr="00E305B6">
              <w:rPr>
                <w:rFonts w:ascii="Times New Roman" w:hAnsi="Times New Roman" w:cs="Times New Roman"/>
                <w:b/>
              </w:rPr>
              <w:t>2 písm. b)</w:t>
            </w:r>
          </w:p>
        </w:tc>
        <w:tc>
          <w:tcPr>
            <w:tcW w:w="113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6CDE5A" w14:textId="77777777" w:rsidR="00147BE7" w:rsidRDefault="00147BE7" w:rsidP="00785869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0E9B27EC" w14:textId="77777777" w:rsidR="00EE64A3" w:rsidRDefault="00EE64A3" w:rsidP="00785869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6B2A0CD7" w14:textId="6B6B4D6B" w:rsidR="00EE64A3" w:rsidRPr="003541AE" w:rsidRDefault="00EE64A3" w:rsidP="00C40C8D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Preventivní údržbu </w:t>
            </w:r>
            <w:r w:rsidR="00C40C8D">
              <w:rPr>
                <w:rFonts w:ascii="Times New Roman" w:hAnsi="Times New Roman" w:cs="Times New Roman"/>
              </w:rPr>
              <w:t>obstarává smluvně zajištěná elektroúdržba</w:t>
            </w:r>
            <w:r>
              <w:rPr>
                <w:rFonts w:ascii="Times New Roman" w:hAnsi="Times New Roman" w:cs="Times New Roman"/>
              </w:rPr>
              <w:t xml:space="preserve"> v soulad</w:t>
            </w:r>
            <w:r w:rsidR="00C40C8D">
              <w:rPr>
                <w:rFonts w:ascii="Times New Roman" w:hAnsi="Times New Roman" w:cs="Times New Roman"/>
              </w:rPr>
              <w:t xml:space="preserve">u s „Řádem preventivní údržby“, která </w:t>
            </w:r>
            <w:r w:rsidR="0083794D">
              <w:rPr>
                <w:rFonts w:ascii="Times New Roman" w:hAnsi="Times New Roman" w:cs="Times New Roman"/>
              </w:rPr>
              <w:t>provádí</w:t>
            </w:r>
            <w:r w:rsidR="00C40C8D">
              <w:rPr>
                <w:rFonts w:ascii="Times New Roman" w:hAnsi="Times New Roman" w:cs="Times New Roman"/>
              </w:rPr>
              <w:t xml:space="preserve"> </w:t>
            </w:r>
            <w:r w:rsidR="00E30C42">
              <w:rPr>
                <w:rFonts w:ascii="Times New Roman" w:hAnsi="Times New Roman" w:cs="Times New Roman"/>
              </w:rPr>
              <w:t>denní vizuální kontrolu roz</w:t>
            </w:r>
            <w:r w:rsidR="00A76620">
              <w:rPr>
                <w:rFonts w:ascii="Times New Roman" w:hAnsi="Times New Roman" w:cs="Times New Roman"/>
              </w:rPr>
              <w:t>vod</w:t>
            </w:r>
            <w:r w:rsidR="00C40C8D">
              <w:rPr>
                <w:rFonts w:ascii="Times New Roman" w:hAnsi="Times New Roman" w:cs="Times New Roman"/>
              </w:rPr>
              <w:t>ny</w:t>
            </w:r>
            <w:r w:rsidR="00A76620">
              <w:rPr>
                <w:rFonts w:ascii="Times New Roman" w:hAnsi="Times New Roman" w:cs="Times New Roman"/>
              </w:rPr>
              <w:t>.</w:t>
            </w:r>
            <w:r w:rsidR="001E7AFD">
              <w:rPr>
                <w:rFonts w:ascii="Times New Roman" w:hAnsi="Times New Roman" w:cs="Times New Roman"/>
              </w:rPr>
              <w:t xml:space="preserve"> </w:t>
            </w:r>
            <w:r w:rsidR="00C40C8D">
              <w:rPr>
                <w:rFonts w:ascii="Times New Roman" w:hAnsi="Times New Roman" w:cs="Times New Roman"/>
              </w:rPr>
              <w:t xml:space="preserve">Využívá se rovněž </w:t>
            </w:r>
            <w:proofErr w:type="spellStart"/>
            <w:r w:rsidR="00C40C8D">
              <w:rPr>
                <w:rFonts w:ascii="Times New Roman" w:hAnsi="Times New Roman" w:cs="Times New Roman"/>
              </w:rPr>
              <w:t>termokamer</w:t>
            </w:r>
            <w:proofErr w:type="spellEnd"/>
            <w:r w:rsidR="00C40C8D">
              <w:rPr>
                <w:rFonts w:ascii="Times New Roman" w:hAnsi="Times New Roman" w:cs="Times New Roman"/>
              </w:rPr>
              <w:t xml:space="preserve"> a dalších </w:t>
            </w:r>
            <w:r w:rsidR="00A76620">
              <w:rPr>
                <w:rFonts w:ascii="Times New Roman" w:hAnsi="Times New Roman" w:cs="Times New Roman"/>
              </w:rPr>
              <w:t>diagnostických přístrojů</w:t>
            </w:r>
            <w:r w:rsidR="006B51C6">
              <w:rPr>
                <w:rFonts w:ascii="Times New Roman" w:hAnsi="Times New Roman" w:cs="Times New Roman"/>
              </w:rPr>
              <w:t xml:space="preserve"> s četností dle plánu kontrol.</w:t>
            </w:r>
            <w:r w:rsidR="00A766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7BE7" w:rsidRPr="003541AE" w14:paraId="2703EB84" w14:textId="77777777" w:rsidTr="004361D6">
        <w:trPr>
          <w:trHeight w:val="5103"/>
          <w:jc w:val="center"/>
        </w:trPr>
        <w:tc>
          <w:tcPr>
            <w:tcW w:w="2798" w:type="dxa"/>
            <w:shd w:val="clear" w:color="auto" w:fill="FFFFFF" w:themeFill="background1"/>
            <w:vAlign w:val="center"/>
          </w:tcPr>
          <w:p w14:paraId="5267FB72" w14:textId="2CE2602F" w:rsidR="00147BE7" w:rsidRPr="00E305B6" w:rsidRDefault="00147BE7" w:rsidP="00785869">
            <w:pPr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lastRenderedPageBreak/>
              <w:t xml:space="preserve">Podle </w:t>
            </w:r>
            <w:r w:rsidR="00D046D8" w:rsidRPr="00E305B6">
              <w:rPr>
                <w:rFonts w:ascii="Times New Roman" w:hAnsi="Times New Roman" w:cs="Times New Roman"/>
                <w:b/>
              </w:rPr>
              <w:t>bodu</w:t>
            </w:r>
            <w:r w:rsidRPr="00E305B6">
              <w:rPr>
                <w:rFonts w:ascii="Times New Roman" w:hAnsi="Times New Roman" w:cs="Times New Roman"/>
                <w:b/>
              </w:rPr>
              <w:t xml:space="preserve"> 2 písm. c)</w:t>
            </w:r>
          </w:p>
        </w:tc>
        <w:tc>
          <w:tcPr>
            <w:tcW w:w="11377" w:type="dxa"/>
            <w:shd w:val="clear" w:color="auto" w:fill="FFFFFF" w:themeFill="background1"/>
          </w:tcPr>
          <w:p w14:paraId="72920485" w14:textId="77777777" w:rsidR="00147BE7" w:rsidRDefault="00147BE7" w:rsidP="00785869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66C45D6C" w14:textId="77777777" w:rsidR="006B51C6" w:rsidRDefault="006B51C6" w:rsidP="00785869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7A263674" w14:textId="17C4365E" w:rsidR="006B51C6" w:rsidRPr="003541AE" w:rsidRDefault="006B51C6" w:rsidP="006C1E28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Kategorizace zařízení dle stáří, opotřebení</w:t>
            </w:r>
            <w:r w:rsidR="00970BFA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0BFA">
              <w:rPr>
                <w:rFonts w:ascii="Times New Roman" w:hAnsi="Times New Roman" w:cs="Times New Roman"/>
              </w:rPr>
              <w:t xml:space="preserve">vlivu na spolehlivost soustavy je základem pro stanovení četnosti kontrol a rovněž pro plánování obnovy a modernizace v souladu s cílem zajištění spolehlivosti provozu a minimalizaci nákladů na opravy. Měřitelným výsledkem těchto postupů je např. to, že v uplynulých třech letech </w:t>
            </w:r>
            <w:r w:rsidR="00E2598D">
              <w:rPr>
                <w:rFonts w:ascii="Times New Roman" w:hAnsi="Times New Roman" w:cs="Times New Roman"/>
              </w:rPr>
              <w:t xml:space="preserve">téměř </w:t>
            </w:r>
            <w:r w:rsidR="00970BFA">
              <w:rPr>
                <w:rFonts w:ascii="Times New Roman" w:hAnsi="Times New Roman" w:cs="Times New Roman"/>
              </w:rPr>
              <w:t xml:space="preserve">nedošlo k neplánovanému přerušení dodávky </w:t>
            </w:r>
            <w:r w:rsidR="00CB0158">
              <w:rPr>
                <w:rFonts w:ascii="Times New Roman" w:hAnsi="Times New Roman" w:cs="Times New Roman"/>
              </w:rPr>
              <w:t>elektřiny v žádné části naš</w:t>
            </w:r>
            <w:r w:rsidR="006C1E28">
              <w:rPr>
                <w:rFonts w:ascii="Times New Roman" w:hAnsi="Times New Roman" w:cs="Times New Roman"/>
              </w:rPr>
              <w:t>í</w:t>
            </w:r>
            <w:r w:rsidR="00CB0158">
              <w:rPr>
                <w:rFonts w:ascii="Times New Roman" w:hAnsi="Times New Roman" w:cs="Times New Roman"/>
              </w:rPr>
              <w:t xml:space="preserve"> LDS.</w:t>
            </w:r>
          </w:p>
        </w:tc>
      </w:tr>
      <w:tr w:rsidR="00147BE7" w:rsidRPr="003541AE" w14:paraId="7B754ED6" w14:textId="77777777" w:rsidTr="004361D6">
        <w:trPr>
          <w:trHeight w:val="4374"/>
          <w:jc w:val="center"/>
        </w:trPr>
        <w:tc>
          <w:tcPr>
            <w:tcW w:w="2798" w:type="dxa"/>
            <w:shd w:val="clear" w:color="auto" w:fill="FFFFFF" w:themeFill="background1"/>
            <w:vAlign w:val="center"/>
          </w:tcPr>
          <w:p w14:paraId="5C6EE5AB" w14:textId="5829EB44" w:rsidR="00147BE7" w:rsidRPr="00E305B6" w:rsidRDefault="00147BE7" w:rsidP="00785869">
            <w:pPr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lastRenderedPageBreak/>
              <w:t xml:space="preserve">Podle </w:t>
            </w:r>
            <w:r w:rsidR="00F14489" w:rsidRPr="00E305B6">
              <w:rPr>
                <w:rFonts w:ascii="Times New Roman" w:hAnsi="Times New Roman" w:cs="Times New Roman"/>
                <w:b/>
              </w:rPr>
              <w:t xml:space="preserve">bodu </w:t>
            </w:r>
            <w:r w:rsidRPr="00E305B6">
              <w:rPr>
                <w:rFonts w:ascii="Times New Roman" w:hAnsi="Times New Roman" w:cs="Times New Roman"/>
                <w:b/>
              </w:rPr>
              <w:t>2 písm. d)</w:t>
            </w:r>
          </w:p>
        </w:tc>
        <w:tc>
          <w:tcPr>
            <w:tcW w:w="11377" w:type="dxa"/>
            <w:shd w:val="clear" w:color="auto" w:fill="FFFFFF" w:themeFill="background1"/>
          </w:tcPr>
          <w:p w14:paraId="74CD7202" w14:textId="77777777" w:rsidR="00147BE7" w:rsidRDefault="00147BE7" w:rsidP="00785869">
            <w:pPr>
              <w:spacing w:after="24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0EE58A0F" w14:textId="0C50C123" w:rsidR="000275B7" w:rsidRDefault="0083794D" w:rsidP="00785869">
            <w:pPr>
              <w:spacing w:after="24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Společnost realizovala výměnu elektroměrů za elektroměry s dálkovým odečtem.</w:t>
            </w:r>
          </w:p>
          <w:p w14:paraId="110E1F61" w14:textId="30107B7A" w:rsidR="0083794D" w:rsidRDefault="0083794D" w:rsidP="00785869">
            <w:pPr>
              <w:spacing w:after="24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 lepší regulaci sítě instalovala zařízení pro akumulaci elektrické energie.</w:t>
            </w:r>
          </w:p>
          <w:p w14:paraId="6D5B942F" w14:textId="77777777" w:rsidR="002778EA" w:rsidRDefault="002778EA" w:rsidP="002778EA">
            <w:pPr>
              <w:spacing w:after="24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6D50B49A" w14:textId="77777777" w:rsidR="00D323D4" w:rsidRDefault="00D323D4" w:rsidP="002778EA">
            <w:pPr>
              <w:spacing w:after="24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4C2D5694" w14:textId="77777777" w:rsidR="00D323D4" w:rsidRDefault="00D323D4" w:rsidP="002778EA">
            <w:pPr>
              <w:spacing w:after="24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025F557E" w14:textId="77777777" w:rsidR="00D323D4" w:rsidRDefault="00D323D4" w:rsidP="002778EA">
            <w:pPr>
              <w:spacing w:after="24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1E5F8191" w14:textId="77777777" w:rsidR="00D323D4" w:rsidRDefault="00D323D4" w:rsidP="002778EA">
            <w:pPr>
              <w:spacing w:after="24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50FA5365" w14:textId="77777777" w:rsidR="00D323D4" w:rsidRDefault="00D323D4" w:rsidP="002778EA">
            <w:pPr>
              <w:spacing w:after="24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2E5E319E" w14:textId="77777777" w:rsidR="00D323D4" w:rsidRDefault="00D323D4" w:rsidP="002778EA">
            <w:pPr>
              <w:spacing w:after="24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256DAC3C" w14:textId="7905ACD1" w:rsidR="00D323D4" w:rsidRPr="003541AE" w:rsidRDefault="00D323D4" w:rsidP="002778EA">
            <w:pPr>
              <w:spacing w:after="240" w:line="276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BE7" w:rsidRPr="003541AE" w14:paraId="2919E88D" w14:textId="77777777" w:rsidTr="004361D6">
        <w:trPr>
          <w:trHeight w:val="1134"/>
          <w:jc w:val="center"/>
        </w:trPr>
        <w:tc>
          <w:tcPr>
            <w:tcW w:w="2798" w:type="dxa"/>
            <w:shd w:val="clear" w:color="auto" w:fill="FFFFFF" w:themeFill="background1"/>
            <w:vAlign w:val="center"/>
          </w:tcPr>
          <w:p w14:paraId="618622FA" w14:textId="77777777" w:rsidR="00D323D4" w:rsidRDefault="00D323D4" w:rsidP="00785869">
            <w:pPr>
              <w:rPr>
                <w:rFonts w:ascii="Times New Roman" w:hAnsi="Times New Roman" w:cs="Times New Roman"/>
                <w:b/>
              </w:rPr>
            </w:pPr>
          </w:p>
          <w:p w14:paraId="71F8B599" w14:textId="77777777" w:rsidR="00D323D4" w:rsidRDefault="00D323D4" w:rsidP="00785869">
            <w:pPr>
              <w:rPr>
                <w:rFonts w:ascii="Times New Roman" w:hAnsi="Times New Roman" w:cs="Times New Roman"/>
                <w:b/>
              </w:rPr>
            </w:pPr>
          </w:p>
          <w:p w14:paraId="5E5E6E29" w14:textId="2C3B0DCE" w:rsidR="00147BE7" w:rsidRPr="00E305B6" w:rsidRDefault="00147BE7" w:rsidP="00785869">
            <w:pPr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t xml:space="preserve">Podle </w:t>
            </w:r>
            <w:r w:rsidR="00F14489" w:rsidRPr="00E305B6">
              <w:rPr>
                <w:rFonts w:ascii="Times New Roman" w:hAnsi="Times New Roman" w:cs="Times New Roman"/>
                <w:b/>
              </w:rPr>
              <w:t xml:space="preserve">bodu 2 </w:t>
            </w:r>
            <w:r w:rsidRPr="00E305B6">
              <w:rPr>
                <w:rFonts w:ascii="Times New Roman" w:hAnsi="Times New Roman" w:cs="Times New Roman"/>
                <w:b/>
              </w:rPr>
              <w:t>písm. e)</w:t>
            </w:r>
          </w:p>
        </w:tc>
        <w:tc>
          <w:tcPr>
            <w:tcW w:w="11377" w:type="dxa"/>
            <w:shd w:val="clear" w:color="auto" w:fill="FFFFFF" w:themeFill="background1"/>
          </w:tcPr>
          <w:p w14:paraId="5080E676" w14:textId="77777777" w:rsidR="00392194" w:rsidRDefault="00392194" w:rsidP="00785869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67B51600" w14:textId="5A5F841F" w:rsidR="00147BE7" w:rsidRPr="003541AE" w:rsidRDefault="000C4A73" w:rsidP="004261A5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roce 202</w:t>
            </w:r>
            <w:r w:rsidR="004261A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bylo z důvodu čerpání dotací realizováno více opatření v oblasti údržby a obnovy, než bylo stanoveno plánem pro rok 202</w:t>
            </w:r>
            <w:r w:rsidR="004261A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Odchylka bude zohledněna v následujících letech. </w:t>
            </w:r>
          </w:p>
        </w:tc>
      </w:tr>
      <w:tr w:rsidR="00147BE7" w:rsidRPr="003541AE" w14:paraId="2DFD4805" w14:textId="77777777" w:rsidTr="004361D6">
        <w:trPr>
          <w:trHeight w:val="2815"/>
          <w:jc w:val="center"/>
        </w:trPr>
        <w:tc>
          <w:tcPr>
            <w:tcW w:w="2798" w:type="dxa"/>
            <w:shd w:val="clear" w:color="auto" w:fill="FFFFFF" w:themeFill="background1"/>
            <w:vAlign w:val="center"/>
          </w:tcPr>
          <w:p w14:paraId="61FB27F0" w14:textId="32CD63D5" w:rsidR="00147BE7" w:rsidRPr="00E305B6" w:rsidRDefault="00147BE7" w:rsidP="00785869">
            <w:pPr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lastRenderedPageBreak/>
              <w:t xml:space="preserve">Podle </w:t>
            </w:r>
            <w:r w:rsidR="00F14489" w:rsidRPr="00E305B6">
              <w:rPr>
                <w:rFonts w:ascii="Times New Roman" w:hAnsi="Times New Roman" w:cs="Times New Roman"/>
                <w:b/>
              </w:rPr>
              <w:t xml:space="preserve">bodu 2 </w:t>
            </w:r>
            <w:r w:rsidRPr="00E305B6">
              <w:rPr>
                <w:rFonts w:ascii="Times New Roman" w:hAnsi="Times New Roman" w:cs="Times New Roman"/>
                <w:b/>
              </w:rPr>
              <w:t>písm. f)</w:t>
            </w:r>
          </w:p>
        </w:tc>
        <w:tc>
          <w:tcPr>
            <w:tcW w:w="11377" w:type="dxa"/>
            <w:shd w:val="clear" w:color="auto" w:fill="FFFFFF" w:themeFill="background1"/>
          </w:tcPr>
          <w:p w14:paraId="23BD0DE9" w14:textId="77777777" w:rsidR="00147BE7" w:rsidRDefault="00147BE7" w:rsidP="00785869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284164B4" w14:textId="77777777" w:rsidR="00D323D4" w:rsidRDefault="00D323D4" w:rsidP="00785869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6FC120A2" w14:textId="77777777" w:rsidR="00D323D4" w:rsidRDefault="00D323D4" w:rsidP="00785869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5F0DDF7C" w14:textId="77777777" w:rsidR="00D323D4" w:rsidRDefault="00D323D4" w:rsidP="00785869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324382F9" w14:textId="77777777" w:rsidR="00D323D4" w:rsidRDefault="00D323D4" w:rsidP="00785869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630445A6" w14:textId="77777777" w:rsidR="00D323D4" w:rsidRDefault="00D323D4" w:rsidP="00785869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4B2D4054" w14:textId="77777777" w:rsidR="00392194" w:rsidRDefault="00392194" w:rsidP="00392194">
            <w:pPr>
              <w:rPr>
                <w:rFonts w:ascii="Times New Roman" w:hAnsi="Times New Roman"/>
                <w:sz w:val="24"/>
              </w:rPr>
            </w:pPr>
            <w:r w:rsidRPr="00C62F57"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 xml:space="preserve"> zajištění údržby elektrických distribučních zařízení </w:t>
            </w:r>
          </w:p>
          <w:p w14:paraId="2209C39D" w14:textId="77777777" w:rsidR="00392194" w:rsidRDefault="00392194" w:rsidP="00392194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9B7C8C">
              <w:rPr>
                <w:rFonts w:ascii="Times New Roman" w:hAnsi="Times New Roman"/>
                <w:sz w:val="24"/>
                <w:u w:val="single"/>
              </w:rPr>
              <w:t xml:space="preserve">byl </w:t>
            </w:r>
            <w:r>
              <w:rPr>
                <w:rFonts w:ascii="Times New Roman" w:hAnsi="Times New Roman"/>
                <w:sz w:val="24"/>
              </w:rPr>
              <w:t>vydán Řád preventivní údržby (ŘPU), ve kterém je stanoven způsob provádění preventivní údržby a to rozsah prováděné údržby, četnost údržbových prací a časového rozpisu (termínů) na provádění údržby.</w:t>
            </w:r>
          </w:p>
          <w:p w14:paraId="46388139" w14:textId="77777777" w:rsidR="00392194" w:rsidRDefault="00392194" w:rsidP="00392194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9B7C8C">
              <w:rPr>
                <w:rFonts w:ascii="Times New Roman" w:hAnsi="Times New Roman"/>
                <w:sz w:val="24"/>
                <w:u w:val="single"/>
              </w:rPr>
              <w:t>není</w:t>
            </w:r>
            <w:r w:rsidRPr="009B7C8C">
              <w:rPr>
                <w:rFonts w:ascii="Times New Roman" w:hAnsi="Times New Roman"/>
                <w:sz w:val="24"/>
              </w:rPr>
              <w:t xml:space="preserve"> prováděna preventivní údržba elektrických distribučních zařízení na základě pravidelných revizí jednotlivých distribučních zařízení.</w:t>
            </w:r>
          </w:p>
          <w:p w14:paraId="00C249A4" w14:textId="77777777" w:rsidR="00392194" w:rsidRDefault="00392194" w:rsidP="00392194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(dle změny Z2 v ČSN 33 1500 z 4/2000, </w:t>
            </w:r>
            <w:proofErr w:type="gramStart"/>
            <w:r>
              <w:rPr>
                <w:rFonts w:ascii="Times New Roman" w:hAnsi="Times New Roman"/>
                <w:sz w:val="24"/>
              </w:rPr>
              <w:t>čl.3.2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: V distribuční a přenosové soustavě dodavatele</w:t>
            </w:r>
          </w:p>
          <w:p w14:paraId="388FDB91" w14:textId="77777777" w:rsidR="00392194" w:rsidRDefault="00392194" w:rsidP="00392194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elektrické energie se nemusí provádět pravidelné revize, pokud bezpečnost el. </w:t>
            </w:r>
            <w:proofErr w:type="gramStart"/>
            <w:r>
              <w:rPr>
                <w:rFonts w:ascii="Times New Roman" w:hAnsi="Times New Roman"/>
                <w:sz w:val="24"/>
              </w:rPr>
              <w:t>zařízení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4"/>
              </w:rPr>
              <w:t>zajiš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14:paraId="01E70BFE" w14:textId="77777777" w:rsidR="00392194" w:rsidRPr="009B7C8C" w:rsidRDefault="00392194" w:rsidP="00392194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</w:rPr>
              <w:t>těna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pravidelnými kontrolami a údržbou dle Řádu preventivní údržby)</w:t>
            </w:r>
          </w:p>
          <w:p w14:paraId="72CD66F3" w14:textId="77777777" w:rsidR="00392194" w:rsidRDefault="00C06E74" w:rsidP="00785869">
            <w:pPr>
              <w:spacing w:after="240"/>
              <w:ind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 preventivní údržby platí pro</w:t>
            </w:r>
          </w:p>
          <w:p w14:paraId="49E11F14" w14:textId="77777777" w:rsidR="00C06E74" w:rsidRDefault="00C06E74" w:rsidP="00785869">
            <w:pPr>
              <w:spacing w:after="240"/>
              <w:ind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 rozvodnou síť NN</w:t>
            </w:r>
          </w:p>
          <w:p w14:paraId="5C721E80" w14:textId="6A6CBBF9" w:rsidR="00C06E74" w:rsidRDefault="00C06E74" w:rsidP="00785869">
            <w:pPr>
              <w:spacing w:after="240"/>
              <w:ind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b) rozvodnou síť VN</w:t>
            </w:r>
          </w:p>
          <w:p w14:paraId="68742DE6" w14:textId="2881B3A2" w:rsidR="00C06E74" w:rsidRDefault="00C06E74" w:rsidP="00785869">
            <w:pPr>
              <w:spacing w:after="240"/>
              <w:ind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c) transformovny VVN/VN, VN/VN, VN/NN</w:t>
            </w:r>
          </w:p>
          <w:p w14:paraId="597DCC1C" w14:textId="6FA6E1C7" w:rsidR="00C478BE" w:rsidRDefault="00C478BE" w:rsidP="00785869">
            <w:pPr>
              <w:spacing w:after="240"/>
              <w:ind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d) Rozvodny VVN,VN,NN</w:t>
            </w:r>
          </w:p>
          <w:p w14:paraId="7B37FD4C" w14:textId="5577F61C" w:rsidR="00C06E74" w:rsidRPr="003541AE" w:rsidRDefault="00C478BE" w:rsidP="00C478BE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e) FVE a akumulaci </w:t>
            </w:r>
          </w:p>
        </w:tc>
      </w:tr>
      <w:tr w:rsidR="00147BE7" w:rsidRPr="003541AE" w14:paraId="4AC49893" w14:textId="77777777" w:rsidTr="004361D6">
        <w:trPr>
          <w:trHeight w:val="1681"/>
          <w:jc w:val="center"/>
        </w:trPr>
        <w:tc>
          <w:tcPr>
            <w:tcW w:w="2798" w:type="dxa"/>
            <w:shd w:val="clear" w:color="auto" w:fill="FFFFFF" w:themeFill="background1"/>
            <w:vAlign w:val="center"/>
          </w:tcPr>
          <w:p w14:paraId="68C0A195" w14:textId="75495349" w:rsidR="00147BE7" w:rsidRPr="00E305B6" w:rsidRDefault="00147BE7" w:rsidP="00785869">
            <w:pPr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lastRenderedPageBreak/>
              <w:t xml:space="preserve">Podle </w:t>
            </w:r>
            <w:r w:rsidR="00F14489" w:rsidRPr="00E305B6">
              <w:rPr>
                <w:rFonts w:ascii="Times New Roman" w:hAnsi="Times New Roman" w:cs="Times New Roman"/>
                <w:b/>
              </w:rPr>
              <w:t xml:space="preserve">bodu 2 </w:t>
            </w:r>
            <w:r w:rsidRPr="00E305B6">
              <w:rPr>
                <w:rFonts w:ascii="Times New Roman" w:hAnsi="Times New Roman" w:cs="Times New Roman"/>
                <w:b/>
              </w:rPr>
              <w:t>písm. g)</w:t>
            </w:r>
          </w:p>
        </w:tc>
        <w:tc>
          <w:tcPr>
            <w:tcW w:w="11377" w:type="dxa"/>
            <w:shd w:val="clear" w:color="auto" w:fill="FFFFFF" w:themeFill="background1"/>
          </w:tcPr>
          <w:p w14:paraId="774FCBF1" w14:textId="77777777" w:rsidR="00C06E74" w:rsidRDefault="00C06E74" w:rsidP="00C06E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Údržba distribučních zařízení je prováděna:</w:t>
            </w:r>
          </w:p>
          <w:p w14:paraId="502E1CCC" w14:textId="664838C5" w:rsidR="00C06E74" w:rsidRDefault="0083794D" w:rsidP="00C06E74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externími dodavateli </w:t>
            </w:r>
          </w:p>
          <w:p w14:paraId="4103D30E" w14:textId="77777777" w:rsidR="00147BE7" w:rsidRPr="003541AE" w:rsidRDefault="00147BE7" w:rsidP="00785869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BE7" w:rsidRPr="003541AE" w14:paraId="233EC1A8" w14:textId="77777777" w:rsidTr="004361D6">
        <w:trPr>
          <w:trHeight w:val="2228"/>
          <w:jc w:val="center"/>
        </w:trPr>
        <w:tc>
          <w:tcPr>
            <w:tcW w:w="2798" w:type="dxa"/>
            <w:shd w:val="clear" w:color="auto" w:fill="FFFFFF" w:themeFill="background1"/>
            <w:vAlign w:val="center"/>
          </w:tcPr>
          <w:p w14:paraId="731E2D18" w14:textId="6A0F28FE" w:rsidR="00147BE7" w:rsidRPr="00E305B6" w:rsidRDefault="00147BE7" w:rsidP="00785869">
            <w:pPr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t xml:space="preserve">Podle </w:t>
            </w:r>
            <w:r w:rsidR="00F14489" w:rsidRPr="00E305B6">
              <w:rPr>
                <w:rFonts w:ascii="Times New Roman" w:hAnsi="Times New Roman" w:cs="Times New Roman"/>
                <w:b/>
              </w:rPr>
              <w:t xml:space="preserve">bodu 2 </w:t>
            </w:r>
            <w:r w:rsidRPr="00E305B6">
              <w:rPr>
                <w:rFonts w:ascii="Times New Roman" w:hAnsi="Times New Roman" w:cs="Times New Roman"/>
                <w:b/>
              </w:rPr>
              <w:t>písm. h)</w:t>
            </w:r>
          </w:p>
        </w:tc>
        <w:tc>
          <w:tcPr>
            <w:tcW w:w="11377" w:type="dxa"/>
            <w:shd w:val="clear" w:color="auto" w:fill="FFFFFF" w:themeFill="background1"/>
          </w:tcPr>
          <w:p w14:paraId="41E30F9A" w14:textId="2BEF84C1" w:rsidR="00C06E74" w:rsidRDefault="00C06E74" w:rsidP="00C06E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 výkon údržby </w:t>
            </w:r>
            <w:r w:rsidR="00C478BE">
              <w:rPr>
                <w:rFonts w:ascii="Times New Roman" w:hAnsi="Times New Roman"/>
                <w:sz w:val="24"/>
              </w:rPr>
              <w:t xml:space="preserve">a kontrol </w:t>
            </w:r>
            <w:r w:rsidR="0083794D">
              <w:rPr>
                <w:rFonts w:ascii="Times New Roman" w:hAnsi="Times New Roman"/>
                <w:sz w:val="24"/>
              </w:rPr>
              <w:t>se řeší externími dodavateli.</w:t>
            </w:r>
            <w:r w:rsidR="00C478B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63CC24C" w14:textId="23E26EA1" w:rsidR="00C06E74" w:rsidRDefault="00C06E74" w:rsidP="00C06E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7B4EEEC" w14:textId="77777777" w:rsidR="00147BE7" w:rsidRPr="003541AE" w:rsidRDefault="00147BE7" w:rsidP="00785869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BE7" w:rsidRPr="003541AE" w14:paraId="660E6DD0" w14:textId="77777777" w:rsidTr="004361D6">
        <w:trPr>
          <w:trHeight w:val="1687"/>
          <w:jc w:val="center"/>
        </w:trPr>
        <w:tc>
          <w:tcPr>
            <w:tcW w:w="2798" w:type="dxa"/>
            <w:shd w:val="clear" w:color="auto" w:fill="FFFFFF" w:themeFill="background1"/>
            <w:vAlign w:val="center"/>
          </w:tcPr>
          <w:p w14:paraId="39980F6A" w14:textId="5F469452" w:rsidR="00147BE7" w:rsidRPr="00E305B6" w:rsidRDefault="00147BE7" w:rsidP="00785869">
            <w:pPr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t xml:space="preserve">Podle </w:t>
            </w:r>
            <w:r w:rsidR="00F14489" w:rsidRPr="00E305B6">
              <w:rPr>
                <w:rFonts w:ascii="Times New Roman" w:hAnsi="Times New Roman" w:cs="Times New Roman"/>
                <w:b/>
              </w:rPr>
              <w:t>bodu 2</w:t>
            </w:r>
            <w:r w:rsidRPr="00E305B6">
              <w:rPr>
                <w:rFonts w:ascii="Times New Roman" w:hAnsi="Times New Roman" w:cs="Times New Roman"/>
                <w:b/>
              </w:rPr>
              <w:t xml:space="preserve"> písm. i)</w:t>
            </w:r>
          </w:p>
        </w:tc>
        <w:tc>
          <w:tcPr>
            <w:tcW w:w="11377" w:type="dxa"/>
            <w:shd w:val="clear" w:color="auto" w:fill="FFFFFF" w:themeFill="background1"/>
          </w:tcPr>
          <w:p w14:paraId="34DE3BA4" w14:textId="77777777" w:rsidR="00147BE7" w:rsidRDefault="00147BE7" w:rsidP="00785869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4AC3A9D6" w14:textId="3A99B048" w:rsidR="00826F99" w:rsidRDefault="00941B1A" w:rsidP="00785869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</w:t>
            </w:r>
            <w:r w:rsidR="00826F99">
              <w:rPr>
                <w:rFonts w:ascii="Times New Roman" w:hAnsi="Times New Roman" w:cs="Times New Roman"/>
              </w:rPr>
              <w:t>lánovan</w:t>
            </w:r>
            <w:r w:rsidR="00F7665E">
              <w:rPr>
                <w:rFonts w:ascii="Times New Roman" w:hAnsi="Times New Roman" w:cs="Times New Roman"/>
              </w:rPr>
              <w:t xml:space="preserve">é udržovací práce: </w:t>
            </w:r>
            <w:r w:rsidR="0083794D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 xml:space="preserve"> h</w:t>
            </w:r>
          </w:p>
          <w:p w14:paraId="199436FE" w14:textId="5121AAE9" w:rsidR="00941B1A" w:rsidRPr="003541AE" w:rsidRDefault="00941B1A" w:rsidP="0083794D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Provedené udržovací práce:     </w:t>
            </w:r>
            <w:r w:rsidR="0083794D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 xml:space="preserve"> h</w:t>
            </w:r>
          </w:p>
        </w:tc>
      </w:tr>
      <w:tr w:rsidR="005C0BE4" w:rsidRPr="003541AE" w14:paraId="4EEB0C10" w14:textId="77777777" w:rsidTr="004361D6">
        <w:trPr>
          <w:trHeight w:val="2673"/>
          <w:jc w:val="center"/>
        </w:trPr>
        <w:tc>
          <w:tcPr>
            <w:tcW w:w="2798" w:type="dxa"/>
            <w:shd w:val="clear" w:color="auto" w:fill="FFFFFF" w:themeFill="background1"/>
            <w:vAlign w:val="center"/>
          </w:tcPr>
          <w:p w14:paraId="057A5341" w14:textId="084BF0B0" w:rsidR="005C0BE4" w:rsidRPr="00E305B6" w:rsidRDefault="005C0BE4" w:rsidP="00785869">
            <w:pPr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t xml:space="preserve">Podle bodu 2 písm. </w:t>
            </w:r>
            <w:r>
              <w:rPr>
                <w:rFonts w:ascii="Times New Roman" w:hAnsi="Times New Roman" w:cs="Times New Roman"/>
                <w:b/>
              </w:rPr>
              <w:t>j</w:t>
            </w:r>
            <w:r w:rsidRPr="00E305B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77" w:type="dxa"/>
            <w:shd w:val="clear" w:color="auto" w:fill="FFFFFF" w:themeFill="background1"/>
          </w:tcPr>
          <w:p w14:paraId="6FB85E60" w14:textId="10789C63" w:rsidR="00941B1A" w:rsidRPr="00E80DCE" w:rsidRDefault="00941B1A" w:rsidP="00941B1A">
            <w:pPr>
              <w:pStyle w:val="Odstavecseseznamem"/>
              <w:jc w:val="both"/>
            </w:pPr>
            <w:r>
              <w:rPr>
                <w:sz w:val="22"/>
                <w:szCs w:val="22"/>
              </w:rPr>
              <w:t>C</w:t>
            </w:r>
            <w:r w:rsidRPr="00E80DCE">
              <w:rPr>
                <w:sz w:val="22"/>
                <w:szCs w:val="22"/>
              </w:rPr>
              <w:t>elkový počet naplánovaných hodin provádění preventivní údržby</w:t>
            </w:r>
            <w:r w:rsidR="00C25FF0">
              <w:rPr>
                <w:sz w:val="22"/>
                <w:szCs w:val="22"/>
              </w:rPr>
              <w:t xml:space="preserve">  -  </w:t>
            </w:r>
            <w:r w:rsidR="0083794D">
              <w:rPr>
                <w:sz w:val="22"/>
                <w:szCs w:val="22"/>
              </w:rPr>
              <w:t>84</w:t>
            </w:r>
          </w:p>
          <w:p w14:paraId="0F09887B" w14:textId="77777777" w:rsidR="00941B1A" w:rsidRPr="00E80DCE" w:rsidRDefault="00941B1A" w:rsidP="00941B1A">
            <w:pPr>
              <w:pStyle w:val="Odstavecseseznamem"/>
              <w:jc w:val="both"/>
            </w:pPr>
          </w:p>
          <w:p w14:paraId="7BC5970B" w14:textId="6A6F6968" w:rsidR="00941B1A" w:rsidRPr="00E80DCE" w:rsidRDefault="00BC5410" w:rsidP="00BC5410">
            <w:pPr>
              <w:pStyle w:val="Odstavecseseznamem"/>
              <w:jc w:val="both"/>
            </w:pPr>
            <w:r>
              <w:rPr>
                <w:sz w:val="22"/>
                <w:szCs w:val="22"/>
              </w:rPr>
              <w:t>C</w:t>
            </w:r>
            <w:r w:rsidR="00941B1A" w:rsidRPr="00E80DCE">
              <w:rPr>
                <w:sz w:val="22"/>
                <w:szCs w:val="22"/>
              </w:rPr>
              <w:t xml:space="preserve">elkový počet naplánovaných hodin vypnutí zařízení, na kterém se provádí preventivní údržba </w:t>
            </w:r>
            <w:r w:rsidR="00C25FF0">
              <w:rPr>
                <w:sz w:val="22"/>
                <w:szCs w:val="22"/>
              </w:rPr>
              <w:t xml:space="preserve"> - </w:t>
            </w:r>
            <w:r w:rsidR="0083794D">
              <w:rPr>
                <w:sz w:val="22"/>
                <w:szCs w:val="22"/>
              </w:rPr>
              <w:t>0</w:t>
            </w:r>
          </w:p>
          <w:p w14:paraId="66408252" w14:textId="77777777" w:rsidR="00941B1A" w:rsidRPr="00E80DCE" w:rsidRDefault="00941B1A" w:rsidP="00941B1A">
            <w:pPr>
              <w:jc w:val="both"/>
            </w:pPr>
          </w:p>
          <w:p w14:paraId="53D47169" w14:textId="699F641A" w:rsidR="00941B1A" w:rsidRPr="00E80DCE" w:rsidRDefault="00BC5410" w:rsidP="00BC5410">
            <w:pPr>
              <w:pStyle w:val="Odstavecsesezname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41B1A" w:rsidRPr="00E80DCE">
              <w:rPr>
                <w:sz w:val="22"/>
                <w:szCs w:val="22"/>
              </w:rPr>
              <w:t>elkový počet naplánovaných hodin přerušení dodávky při provádění preventivní údržby</w:t>
            </w:r>
            <w:r>
              <w:rPr>
                <w:sz w:val="22"/>
                <w:szCs w:val="22"/>
              </w:rPr>
              <w:t xml:space="preserve"> </w:t>
            </w:r>
            <w:r w:rsidR="0083794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0</w:t>
            </w:r>
          </w:p>
          <w:p w14:paraId="180F9905" w14:textId="77777777" w:rsidR="00941B1A" w:rsidRPr="00E80DCE" w:rsidRDefault="00941B1A" w:rsidP="00941B1A">
            <w:pPr>
              <w:pStyle w:val="Odstavecseseznamem"/>
              <w:rPr>
                <w:sz w:val="22"/>
                <w:szCs w:val="22"/>
              </w:rPr>
            </w:pPr>
          </w:p>
          <w:p w14:paraId="296E206C" w14:textId="3E3181CE" w:rsidR="00941B1A" w:rsidRPr="00E80DCE" w:rsidRDefault="00BC5410" w:rsidP="00BC5410">
            <w:pPr>
              <w:pStyle w:val="Odstavecsesezname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41B1A" w:rsidRPr="00E80DCE">
              <w:rPr>
                <w:sz w:val="22"/>
                <w:szCs w:val="22"/>
              </w:rPr>
              <w:t xml:space="preserve">kutečný počet přerušení dodávky při provádění preventivní údržby </w:t>
            </w:r>
            <w:r w:rsidR="0083794D">
              <w:rPr>
                <w:sz w:val="22"/>
                <w:szCs w:val="22"/>
              </w:rPr>
              <w:t>- 0</w:t>
            </w:r>
          </w:p>
          <w:p w14:paraId="00DE8D47" w14:textId="77777777" w:rsidR="00941B1A" w:rsidRPr="00E80DCE" w:rsidRDefault="00941B1A" w:rsidP="00941B1A">
            <w:pPr>
              <w:pStyle w:val="Odstavecseseznamem"/>
              <w:rPr>
                <w:sz w:val="22"/>
                <w:szCs w:val="22"/>
              </w:rPr>
            </w:pPr>
          </w:p>
          <w:p w14:paraId="74DE9F8D" w14:textId="56570A4C" w:rsidR="00941B1A" w:rsidRPr="00E80DCE" w:rsidRDefault="00BC5410" w:rsidP="00BC5410">
            <w:pPr>
              <w:pStyle w:val="Odstavecsesezname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41B1A" w:rsidRPr="00E80DCE">
              <w:rPr>
                <w:sz w:val="22"/>
                <w:szCs w:val="22"/>
              </w:rPr>
              <w:t xml:space="preserve">očet hodin provádění preventivní údržby na zařízení pod napětím </w:t>
            </w:r>
            <w:r w:rsidR="0083794D">
              <w:rPr>
                <w:sz w:val="22"/>
                <w:szCs w:val="22"/>
              </w:rPr>
              <w:t>- 84</w:t>
            </w:r>
          </w:p>
          <w:p w14:paraId="1B9BDE5C" w14:textId="77777777" w:rsidR="00941B1A" w:rsidRPr="00E80DCE" w:rsidRDefault="00941B1A" w:rsidP="00941B1A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14:paraId="40D88ECC" w14:textId="77777777" w:rsidR="005C0BE4" w:rsidRPr="003541AE" w:rsidRDefault="005C0BE4" w:rsidP="00785869">
            <w:pPr>
              <w:spacing w:after="24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979F99" w14:textId="77777777" w:rsidR="00147BE7" w:rsidRPr="003541AE" w:rsidRDefault="00147BE7" w:rsidP="00EA76B3">
      <w:pPr>
        <w:rPr>
          <w:rFonts w:ascii="Times New Roman" w:hAnsi="Times New Roman" w:cs="Times New Roman"/>
        </w:rPr>
      </w:pPr>
    </w:p>
    <w:tbl>
      <w:tblPr>
        <w:tblStyle w:val="Mkatabulky"/>
        <w:tblW w:w="142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62"/>
        <w:gridCol w:w="1278"/>
        <w:gridCol w:w="1412"/>
        <w:gridCol w:w="1387"/>
        <w:gridCol w:w="1341"/>
        <w:gridCol w:w="1338"/>
        <w:gridCol w:w="1339"/>
        <w:gridCol w:w="4161"/>
      </w:tblGrid>
      <w:tr w:rsidR="00147BE7" w:rsidRPr="003541AE" w14:paraId="7E8DCEDA" w14:textId="77777777" w:rsidTr="00785869">
        <w:trPr>
          <w:trHeight w:val="283"/>
          <w:jc w:val="center"/>
        </w:trPr>
        <w:tc>
          <w:tcPr>
            <w:tcW w:w="10057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DD2A506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  <w:b/>
              </w:rPr>
              <w:lastRenderedPageBreak/>
              <w:t>UKAZATELE ZA ÚČELEM HODNOCENÍ ÚROVNĚ ÚDRŽBY</w:t>
            </w:r>
          </w:p>
        </w:tc>
        <w:tc>
          <w:tcPr>
            <w:tcW w:w="4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51194FF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Komentář k jednotlivým údajům</w:t>
            </w:r>
          </w:p>
        </w:tc>
      </w:tr>
      <w:tr w:rsidR="00147BE7" w:rsidRPr="003541AE" w14:paraId="3C032D84" w14:textId="77777777" w:rsidTr="00785869">
        <w:trPr>
          <w:trHeight w:val="599"/>
          <w:jc w:val="center"/>
        </w:trPr>
        <w:tc>
          <w:tcPr>
            <w:tcW w:w="3240" w:type="dxa"/>
            <w:gridSpan w:val="2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587B2" w14:textId="51B58961" w:rsidR="00147BE7" w:rsidRPr="00E305B6" w:rsidRDefault="00147BE7" w:rsidP="00785869">
            <w:pPr>
              <w:keepNext/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t xml:space="preserve">Podle </w:t>
            </w:r>
            <w:r w:rsidR="00F14489" w:rsidRPr="00E305B6">
              <w:rPr>
                <w:rFonts w:ascii="Times New Roman" w:hAnsi="Times New Roman" w:cs="Times New Roman"/>
                <w:b/>
              </w:rPr>
              <w:t xml:space="preserve">bodu 3 </w:t>
            </w:r>
            <w:r w:rsidRPr="00E305B6">
              <w:rPr>
                <w:rFonts w:ascii="Times New Roman" w:hAnsi="Times New Roman" w:cs="Times New Roman"/>
                <w:b/>
              </w:rPr>
              <w:t>písm. a)</w:t>
            </w:r>
          </w:p>
        </w:tc>
        <w:tc>
          <w:tcPr>
            <w:tcW w:w="6817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36CF1" w14:textId="0FB00512" w:rsidR="00147BE7" w:rsidRPr="003541AE" w:rsidRDefault="0083794D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6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14:paraId="7E2712A5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</w:tr>
      <w:tr w:rsidR="00147BE7" w:rsidRPr="003541AE" w14:paraId="301812AC" w14:textId="77777777" w:rsidTr="00785869">
        <w:trPr>
          <w:trHeight w:val="599"/>
          <w:jc w:val="center"/>
        </w:trPr>
        <w:tc>
          <w:tcPr>
            <w:tcW w:w="32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5F83E" w14:textId="484E1346" w:rsidR="00147BE7" w:rsidRPr="00E305B6" w:rsidRDefault="00147BE7" w:rsidP="00785869">
            <w:pPr>
              <w:keepNext/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t xml:space="preserve">Podle </w:t>
            </w:r>
            <w:r w:rsidR="00F14489" w:rsidRPr="00E305B6">
              <w:rPr>
                <w:rFonts w:ascii="Times New Roman" w:hAnsi="Times New Roman" w:cs="Times New Roman"/>
                <w:b/>
              </w:rPr>
              <w:t xml:space="preserve">bodu 3 </w:t>
            </w:r>
            <w:r w:rsidRPr="00E305B6">
              <w:rPr>
                <w:rFonts w:ascii="Times New Roman" w:hAnsi="Times New Roman" w:cs="Times New Roman"/>
                <w:b/>
              </w:rPr>
              <w:t>písm. b)</w:t>
            </w:r>
          </w:p>
        </w:tc>
        <w:tc>
          <w:tcPr>
            <w:tcW w:w="68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4153D0" w14:textId="6D56B9EB" w:rsidR="00147BE7" w:rsidRPr="003541AE" w:rsidRDefault="00F72338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14:paraId="003944FB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</w:tr>
      <w:tr w:rsidR="00147BE7" w:rsidRPr="003541AE" w14:paraId="5BBCD8AE" w14:textId="77777777" w:rsidTr="00785869">
        <w:trPr>
          <w:trHeight w:val="599"/>
          <w:jc w:val="center"/>
        </w:trPr>
        <w:tc>
          <w:tcPr>
            <w:tcW w:w="32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120E3" w14:textId="6D613133" w:rsidR="00147BE7" w:rsidRPr="00E305B6" w:rsidRDefault="00147BE7" w:rsidP="00785869">
            <w:pPr>
              <w:keepNext/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t xml:space="preserve">Podle </w:t>
            </w:r>
            <w:r w:rsidR="00F14489" w:rsidRPr="00E305B6">
              <w:rPr>
                <w:rFonts w:ascii="Times New Roman" w:hAnsi="Times New Roman" w:cs="Times New Roman"/>
                <w:b/>
              </w:rPr>
              <w:t xml:space="preserve">bodu 3 </w:t>
            </w:r>
            <w:r w:rsidRPr="00E305B6">
              <w:rPr>
                <w:rFonts w:ascii="Times New Roman" w:hAnsi="Times New Roman" w:cs="Times New Roman"/>
                <w:b/>
              </w:rPr>
              <w:t>písm. c)</w:t>
            </w:r>
          </w:p>
        </w:tc>
        <w:tc>
          <w:tcPr>
            <w:tcW w:w="68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A76282" w14:textId="6F3DE316" w:rsidR="00147BE7" w:rsidRPr="003541AE" w:rsidRDefault="00D323D4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14:paraId="387AD7FD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</w:tr>
      <w:tr w:rsidR="00147BE7" w:rsidRPr="003541AE" w14:paraId="22414490" w14:textId="77777777" w:rsidTr="00785869">
        <w:trPr>
          <w:trHeight w:val="599"/>
          <w:jc w:val="center"/>
        </w:trPr>
        <w:tc>
          <w:tcPr>
            <w:tcW w:w="3240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D167E5" w14:textId="5F8EE830" w:rsidR="00147BE7" w:rsidRPr="00E305B6" w:rsidRDefault="00147BE7" w:rsidP="00785869">
            <w:pPr>
              <w:keepNext/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t xml:space="preserve">Podle </w:t>
            </w:r>
            <w:r w:rsidR="00F14489" w:rsidRPr="00E305B6">
              <w:rPr>
                <w:rFonts w:ascii="Times New Roman" w:hAnsi="Times New Roman" w:cs="Times New Roman"/>
                <w:b/>
              </w:rPr>
              <w:t xml:space="preserve">bodu 3 </w:t>
            </w:r>
            <w:r w:rsidRPr="00E305B6">
              <w:rPr>
                <w:rFonts w:ascii="Times New Roman" w:hAnsi="Times New Roman" w:cs="Times New Roman"/>
                <w:b/>
              </w:rPr>
              <w:t>písm. d)</w:t>
            </w:r>
          </w:p>
        </w:tc>
        <w:tc>
          <w:tcPr>
            <w:tcW w:w="681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8BB07B" w14:textId="07FEF1DD" w:rsidR="00147BE7" w:rsidRPr="003541AE" w:rsidRDefault="00F72338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61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3BFE34ED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</w:tr>
      <w:tr w:rsidR="00147BE7" w:rsidRPr="003541AE" w14:paraId="4821912D" w14:textId="77777777" w:rsidTr="00785869">
        <w:trPr>
          <w:trHeight w:val="599"/>
          <w:jc w:val="center"/>
        </w:trPr>
        <w:tc>
          <w:tcPr>
            <w:tcW w:w="324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00155" w14:textId="3360B36A" w:rsidR="00147BE7" w:rsidRPr="00E305B6" w:rsidRDefault="00147BE7" w:rsidP="00785869">
            <w:pPr>
              <w:keepNext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FC7C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Stáří zařízení do 10 let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5FC63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Stáří zařízení od 10 let až 20 let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0258C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Stáří zařízení od 20 let až 30 let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D65EB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Stáří zařízení více než 30 let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4BBE2A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Stáří zařízení více než 40 let</w:t>
            </w:r>
          </w:p>
        </w:tc>
        <w:tc>
          <w:tcPr>
            <w:tcW w:w="4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CB2A45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</w:tr>
      <w:tr w:rsidR="00147BE7" w:rsidRPr="003541AE" w14:paraId="566D6B3E" w14:textId="77777777" w:rsidTr="005918D6">
        <w:trPr>
          <w:trHeight w:val="567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B5090" w14:textId="77777777" w:rsidR="00E305B6" w:rsidRPr="00E305B6" w:rsidRDefault="00E305B6" w:rsidP="00785869">
            <w:pPr>
              <w:keepNext/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t>Podle bodu 3 písm. e)</w:t>
            </w:r>
          </w:p>
          <w:p w14:paraId="4ACB4BC8" w14:textId="10D488CE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708BA" w14:textId="7C27D87C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6B5F1" w14:textId="1FA91964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EA776" w14:textId="353FCD0C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0339" w14:textId="6BAA1648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67AC1A" w14:textId="6B724769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423EBC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</w:tr>
      <w:tr w:rsidR="00E305B6" w:rsidRPr="003541AE" w14:paraId="48AD4551" w14:textId="77777777" w:rsidTr="005918D6">
        <w:trPr>
          <w:trHeight w:val="567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CA537" w14:textId="44910A59" w:rsidR="00E305B6" w:rsidRPr="00E305B6" w:rsidRDefault="00E305B6" w:rsidP="00785869">
            <w:pPr>
              <w:keepNext/>
              <w:rPr>
                <w:rFonts w:ascii="Times New Roman" w:hAnsi="Times New Roman" w:cs="Times New Roman"/>
                <w:b/>
              </w:rPr>
            </w:pPr>
            <w:r w:rsidRPr="003541AE">
              <w:rPr>
                <w:rFonts w:ascii="Times New Roman" w:hAnsi="Times New Roman" w:cs="Times New Roman"/>
              </w:rPr>
              <w:t xml:space="preserve">Počet transformátorů </w:t>
            </w:r>
            <w:r>
              <w:rPr>
                <w:rFonts w:ascii="Times New Roman" w:hAnsi="Times New Roman" w:cs="Times New Roman"/>
              </w:rPr>
              <w:t>(v kusech)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B2824" w14:textId="752A1F24" w:rsidR="00E305B6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FBBE7" w14:textId="6BF99698" w:rsidR="00E305B6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86A0F" w14:textId="6113426C" w:rsidR="00E305B6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96C75" w14:textId="3AE81728" w:rsidR="00E305B6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62A862" w14:textId="3BC202B1" w:rsidR="00E305B6" w:rsidRPr="003541AE" w:rsidRDefault="0083794D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DE29650" w14:textId="77777777" w:rsidR="00E305B6" w:rsidRPr="003541AE" w:rsidRDefault="00E305B6" w:rsidP="00785869">
            <w:pPr>
              <w:keepNext/>
              <w:rPr>
                <w:rFonts w:ascii="Times New Roman" w:hAnsi="Times New Roman" w:cs="Times New Roman"/>
              </w:rPr>
            </w:pPr>
          </w:p>
        </w:tc>
      </w:tr>
      <w:tr w:rsidR="00E305B6" w:rsidRPr="003541AE" w14:paraId="4CEB2CBE" w14:textId="77777777" w:rsidTr="005918D6">
        <w:trPr>
          <w:trHeight w:val="567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73BA0" w14:textId="300AD6F9" w:rsidR="00E305B6" w:rsidRPr="00E305B6" w:rsidRDefault="00E305B6" w:rsidP="00785869">
            <w:pPr>
              <w:keepNext/>
              <w:rPr>
                <w:rFonts w:ascii="Times New Roman" w:hAnsi="Times New Roman" w:cs="Times New Roman"/>
              </w:rPr>
            </w:pPr>
            <w:r w:rsidRPr="00E305B6">
              <w:rPr>
                <w:rFonts w:ascii="Times New Roman" w:hAnsi="Times New Roman" w:cs="Times New Roman"/>
              </w:rPr>
              <w:t>Počet tlumivek (v kusech)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7387A" w14:textId="484272BD" w:rsidR="00E305B6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E6182" w14:textId="38389274" w:rsidR="00E305B6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F931E" w14:textId="6D574527" w:rsidR="00E305B6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BA60A" w14:textId="4804E147" w:rsidR="00E305B6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9D93B2" w14:textId="7E434139" w:rsidR="00E305B6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337C0C5" w14:textId="77777777" w:rsidR="00E305B6" w:rsidRPr="003541AE" w:rsidRDefault="00E305B6" w:rsidP="00785869">
            <w:pPr>
              <w:keepNext/>
              <w:rPr>
                <w:rFonts w:ascii="Times New Roman" w:hAnsi="Times New Roman" w:cs="Times New Roman"/>
              </w:rPr>
            </w:pPr>
          </w:p>
        </w:tc>
      </w:tr>
      <w:tr w:rsidR="00E305B6" w:rsidRPr="003541AE" w14:paraId="426D6616" w14:textId="77777777" w:rsidTr="005918D6">
        <w:trPr>
          <w:trHeight w:val="567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D6D9" w14:textId="1FCFC659" w:rsidR="00E305B6" w:rsidRPr="00E305B6" w:rsidRDefault="00E305B6" w:rsidP="00785869">
            <w:pPr>
              <w:keepNext/>
              <w:rPr>
                <w:rFonts w:ascii="Times New Roman" w:hAnsi="Times New Roman" w:cs="Times New Roman"/>
                <w:b/>
              </w:rPr>
            </w:pPr>
            <w:r w:rsidRPr="00E305B6">
              <w:rPr>
                <w:rFonts w:ascii="Times New Roman" w:hAnsi="Times New Roman" w:cs="Times New Roman"/>
                <w:b/>
              </w:rPr>
              <w:t>Podle bodu 3 písm. f)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405E6" w14:textId="77777777" w:rsidR="00E305B6" w:rsidRPr="003541AE" w:rsidRDefault="00E305B6" w:rsidP="0078586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2EB78" w14:textId="77777777" w:rsidR="00E305B6" w:rsidRPr="003541AE" w:rsidRDefault="00E305B6" w:rsidP="0078586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04D29" w14:textId="77777777" w:rsidR="00E305B6" w:rsidRPr="003541AE" w:rsidRDefault="00E305B6" w:rsidP="0078586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CED53" w14:textId="77777777" w:rsidR="00E305B6" w:rsidRPr="003541AE" w:rsidRDefault="00E305B6" w:rsidP="0078586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692AF2" w14:textId="77777777" w:rsidR="00E305B6" w:rsidRPr="003541AE" w:rsidRDefault="00E305B6" w:rsidP="0078586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A15CAE" w14:textId="77777777" w:rsidR="00E305B6" w:rsidRPr="003541AE" w:rsidRDefault="00E305B6" w:rsidP="00785869">
            <w:pPr>
              <w:keepNext/>
              <w:rPr>
                <w:rFonts w:ascii="Times New Roman" w:hAnsi="Times New Roman" w:cs="Times New Roman"/>
              </w:rPr>
            </w:pPr>
          </w:p>
        </w:tc>
      </w:tr>
      <w:tr w:rsidR="00147BE7" w:rsidRPr="003541AE" w14:paraId="06B075E4" w14:textId="77777777" w:rsidTr="005918D6">
        <w:trPr>
          <w:trHeight w:val="567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61A6F" w14:textId="77777777" w:rsidR="00147BE7" w:rsidRDefault="00147BE7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spínacích zařízení (v kusech)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0B5AA" w14:textId="36F47026" w:rsidR="00147BE7" w:rsidRPr="003541AE" w:rsidRDefault="0083794D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63471" w14:textId="33B15CB0" w:rsidR="00147BE7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6AC4A" w14:textId="363D9F09" w:rsidR="00147BE7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C798A" w14:textId="750AE09A" w:rsidR="00147BE7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7F50C3" w14:textId="5CA76B8E" w:rsidR="00147BE7" w:rsidRPr="003541AE" w:rsidRDefault="0083794D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4A3A6F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</w:tr>
      <w:tr w:rsidR="00147BE7" w:rsidRPr="003541AE" w14:paraId="480EC657" w14:textId="77777777" w:rsidTr="005918D6">
        <w:trPr>
          <w:trHeight w:val="567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75CD5" w14:textId="77777777" w:rsidR="00147BE7" w:rsidRPr="00DC574D" w:rsidRDefault="00147BE7" w:rsidP="00785869">
            <w:pPr>
              <w:pStyle w:val="Odstavecseseznamem"/>
              <w:keepNext/>
              <w:numPr>
                <w:ilvl w:val="0"/>
                <w:numId w:val="13"/>
              </w:numPr>
            </w:pPr>
            <w:r>
              <w:t>z toho počet vypínačů (v kusech)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12947" w14:textId="6042802A" w:rsidR="00147BE7" w:rsidRPr="003541AE" w:rsidRDefault="0083794D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950B9" w14:textId="77C51C03" w:rsidR="00147BE7" w:rsidRPr="003541AE" w:rsidRDefault="0083794D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AB170" w14:textId="08C1768D" w:rsidR="00147BE7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5BC33" w14:textId="00EDAAFC" w:rsidR="00147BE7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21D84D" w14:textId="36344343" w:rsidR="00147BE7" w:rsidRPr="003541AE" w:rsidRDefault="0083794D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173F1C4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</w:tr>
      <w:tr w:rsidR="00147BE7" w:rsidRPr="003541AE" w14:paraId="2B28821B" w14:textId="77777777" w:rsidTr="005918D6">
        <w:trPr>
          <w:trHeight w:val="567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BE526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Délka kabelových vedení</w:t>
            </w:r>
            <w:r>
              <w:rPr>
                <w:rFonts w:ascii="Times New Roman" w:hAnsi="Times New Roman" w:cs="Times New Roman"/>
              </w:rPr>
              <w:t xml:space="preserve"> (v metrech)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2D214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Vodiče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1F2B4" w14:textId="3C468804" w:rsidR="00147BE7" w:rsidRPr="003541AE" w:rsidRDefault="0083794D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8A806" w14:textId="4C373DF5" w:rsidR="00147BE7" w:rsidRPr="003541AE" w:rsidRDefault="0083794D" w:rsidP="0083794D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D6B4" w14:textId="78404217" w:rsidR="00147BE7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3A024" w14:textId="5434570D" w:rsidR="00147BE7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A35C5E" w14:textId="2F81A107" w:rsidR="00147BE7" w:rsidRPr="003541AE" w:rsidRDefault="0083794D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F1B7371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</w:tr>
      <w:tr w:rsidR="00147BE7" w:rsidRPr="003541AE" w14:paraId="6E2CFF9A" w14:textId="77777777" w:rsidTr="005918D6">
        <w:trPr>
          <w:trHeight w:val="567"/>
          <w:jc w:val="center"/>
        </w:trPr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4074C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8BF02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Světlovody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485BE" w14:textId="71D8CA2A" w:rsidR="00147BE7" w:rsidRPr="003541AE" w:rsidRDefault="0083794D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BB7F2" w14:textId="6B522859" w:rsidR="00147BE7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C844C" w14:textId="49E2C549" w:rsidR="00147BE7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C3917" w14:textId="1BB74B2D" w:rsidR="00147BE7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670D41" w14:textId="61CBC607" w:rsidR="00147BE7" w:rsidRPr="003541AE" w:rsidRDefault="00EC7219" w:rsidP="00785869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B747803" w14:textId="77777777" w:rsidR="00147BE7" w:rsidRPr="003541AE" w:rsidRDefault="00147BE7" w:rsidP="00785869">
            <w:pPr>
              <w:keepNext/>
              <w:rPr>
                <w:rFonts w:ascii="Times New Roman" w:hAnsi="Times New Roman" w:cs="Times New Roman"/>
              </w:rPr>
            </w:pPr>
          </w:p>
        </w:tc>
      </w:tr>
    </w:tbl>
    <w:p w14:paraId="4F56A22B" w14:textId="77777777" w:rsidR="00EA76B3" w:rsidRPr="003541AE" w:rsidRDefault="00EA76B3" w:rsidP="00EA76B3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79"/>
        <w:gridCol w:w="1375"/>
        <w:gridCol w:w="1765"/>
        <w:gridCol w:w="2568"/>
        <w:gridCol w:w="1857"/>
        <w:gridCol w:w="2924"/>
        <w:gridCol w:w="2550"/>
      </w:tblGrid>
      <w:tr w:rsidR="009D2503" w:rsidRPr="003541AE" w14:paraId="31153076" w14:textId="77777777" w:rsidTr="00785869">
        <w:trPr>
          <w:trHeight w:val="219"/>
          <w:jc w:val="center"/>
        </w:trPr>
        <w:tc>
          <w:tcPr>
            <w:tcW w:w="0" w:type="auto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C7A7631" w14:textId="77777777" w:rsidR="009D2503" w:rsidRPr="003541AE" w:rsidRDefault="009D2503" w:rsidP="00785869">
            <w:pPr>
              <w:rPr>
                <w:rFonts w:ascii="Times New Roman" w:hAnsi="Times New Roman" w:cs="Times New Roman"/>
                <w:b/>
              </w:rPr>
            </w:pPr>
            <w:r w:rsidRPr="003541AE">
              <w:rPr>
                <w:rFonts w:ascii="Times New Roman" w:hAnsi="Times New Roman" w:cs="Times New Roman"/>
                <w:b/>
              </w:rPr>
              <w:lastRenderedPageBreak/>
              <w:t>EKONOMICKÉ ÚDAJE – SOUHRNNÁ DATA</w:t>
            </w:r>
          </w:p>
        </w:tc>
      </w:tr>
      <w:tr w:rsidR="005918D6" w:rsidRPr="003541AE" w14:paraId="5E248A2D" w14:textId="77777777" w:rsidTr="00785869">
        <w:trPr>
          <w:trHeight w:val="570"/>
          <w:jc w:val="center"/>
        </w:trPr>
        <w:tc>
          <w:tcPr>
            <w:tcW w:w="0" w:type="auto"/>
            <w:vMerge w:val="restart"/>
            <w:tcBorders>
              <w:top w:val="single" w:sz="2" w:space="0" w:color="auto"/>
            </w:tcBorders>
            <w:vAlign w:val="center"/>
          </w:tcPr>
          <w:p w14:paraId="14F0DFAF" w14:textId="77777777" w:rsidR="005918D6" w:rsidRPr="003541AE" w:rsidRDefault="005918D6" w:rsidP="005918D6">
            <w:pPr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 xml:space="preserve">podle § </w:t>
            </w:r>
            <w:r>
              <w:rPr>
                <w:rFonts w:ascii="Times New Roman" w:hAnsi="Times New Roman" w:cs="Times New Roman"/>
              </w:rPr>
              <w:t>4 odst. 4 písm. a)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77C1F49E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Náklady na údržbu (plán)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66D24C81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Náklady na údržbu (skutečnost)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2CCDDB7D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Náklady na opravy na základě vyhodnocení preventivní údržby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706A1017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Náklady na opravy provedené po poruše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2FF83FB6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Náklady na technické zhodnocení na základě vyhodnocení preventivní údržby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61B0FE9C" w14:textId="3B71D651" w:rsidR="005918D6" w:rsidRPr="003541AE" w:rsidRDefault="005918D6" w:rsidP="003541AE">
            <w:pPr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 xml:space="preserve">Účetní zůstatková hodnota zařízení </w:t>
            </w:r>
            <w:r w:rsidR="00256B6F" w:rsidRPr="00256B6F">
              <w:rPr>
                <w:rFonts w:ascii="Times New Roman" w:hAnsi="Times New Roman" w:cs="Times New Roman"/>
              </w:rPr>
              <w:t xml:space="preserve">přenosové a </w:t>
            </w:r>
            <w:r w:rsidRPr="003541AE">
              <w:rPr>
                <w:rFonts w:ascii="Times New Roman" w:hAnsi="Times New Roman" w:cs="Times New Roman"/>
              </w:rPr>
              <w:t>distribuční soustavy</w:t>
            </w:r>
          </w:p>
        </w:tc>
      </w:tr>
      <w:tr w:rsidR="005918D6" w:rsidRPr="003541AE" w14:paraId="40CEAA79" w14:textId="77777777" w:rsidTr="00785869">
        <w:trPr>
          <w:trHeight w:val="265"/>
          <w:jc w:val="center"/>
        </w:trPr>
        <w:tc>
          <w:tcPr>
            <w:tcW w:w="0" w:type="auto"/>
            <w:vMerge/>
            <w:vAlign w:val="center"/>
          </w:tcPr>
          <w:p w14:paraId="3AD5C294" w14:textId="77777777" w:rsidR="005918D6" w:rsidRPr="003541AE" w:rsidRDefault="005918D6" w:rsidP="0078586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59686A0" w14:textId="1DDD46E4" w:rsidR="005918D6" w:rsidRPr="003541AE" w:rsidRDefault="00785869" w:rsidP="00785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</w:tcPr>
          <w:p w14:paraId="6AB78050" w14:textId="16AEA857" w:rsidR="005918D6" w:rsidRPr="003541AE" w:rsidRDefault="00785869" w:rsidP="00D0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</w:tcPr>
          <w:p w14:paraId="1CC27540" w14:textId="61CC23D4" w:rsidR="005918D6" w:rsidRPr="003541AE" w:rsidRDefault="00785869" w:rsidP="00785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6B18D936" w14:textId="39F4D631" w:rsidR="005918D6" w:rsidRPr="003541AE" w:rsidRDefault="00785869" w:rsidP="00785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351D8F7" w14:textId="5C8B48CD" w:rsidR="005918D6" w:rsidRPr="003541AE" w:rsidRDefault="00785869" w:rsidP="00785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65FD4861" w14:textId="70B08A83" w:rsidR="005918D6" w:rsidRPr="003541AE" w:rsidRDefault="00785869" w:rsidP="00785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2460</w:t>
            </w:r>
          </w:p>
        </w:tc>
      </w:tr>
    </w:tbl>
    <w:p w14:paraId="536EB9C0" w14:textId="77777777" w:rsidR="009D2503" w:rsidRDefault="009D2503" w:rsidP="009D2503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Mkatabulky"/>
        <w:tblpPr w:leftFromText="142" w:rightFromText="142" w:vertAnchor="text" w:horzAnchor="margin" w:tblpXSpec="center" w:tblpY="1"/>
        <w:tblOverlap w:val="nev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6"/>
        <w:gridCol w:w="1134"/>
        <w:gridCol w:w="1182"/>
        <w:gridCol w:w="1134"/>
        <w:gridCol w:w="1182"/>
        <w:gridCol w:w="2206"/>
        <w:gridCol w:w="1641"/>
        <w:gridCol w:w="2455"/>
        <w:gridCol w:w="1628"/>
      </w:tblGrid>
      <w:tr w:rsidR="005918D6" w:rsidRPr="003541AE" w14:paraId="25ACE879" w14:textId="77777777" w:rsidTr="00785869">
        <w:trPr>
          <w:jc w:val="center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9D8D3C3" w14:textId="77777777" w:rsidR="005918D6" w:rsidRPr="003541AE" w:rsidRDefault="005918D6" w:rsidP="007858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E40D7F3" w14:textId="77777777" w:rsidR="005918D6" w:rsidRPr="003541AE" w:rsidRDefault="005918D6" w:rsidP="007858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3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8A965A3" w14:textId="77777777" w:rsidR="005918D6" w:rsidRPr="003541AE" w:rsidRDefault="005918D6" w:rsidP="00785869">
            <w:pPr>
              <w:rPr>
                <w:rFonts w:ascii="Times New Roman" w:hAnsi="Times New Roman" w:cs="Times New Roman"/>
                <w:b/>
              </w:rPr>
            </w:pPr>
            <w:r w:rsidRPr="003541AE">
              <w:rPr>
                <w:rFonts w:ascii="Times New Roman" w:hAnsi="Times New Roman" w:cs="Times New Roman"/>
                <w:b/>
              </w:rPr>
              <w:t>EKONOMICKÉ ÚDAJE – PODROBNÉ ČLENĚNÍ</w:t>
            </w:r>
            <w:r>
              <w:rPr>
                <w:rFonts w:ascii="Times New Roman" w:hAnsi="Times New Roman" w:cs="Times New Roman"/>
                <w:b/>
              </w:rPr>
              <w:t xml:space="preserve"> (v tis. Kč)</w:t>
            </w:r>
          </w:p>
        </w:tc>
      </w:tr>
      <w:tr w:rsidR="005918D6" w:rsidRPr="003541AE" w14:paraId="6B2E8C3A" w14:textId="77777777" w:rsidTr="00256B6F">
        <w:trPr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755F1DA8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 xml:space="preserve">Podle § </w:t>
            </w:r>
            <w:r>
              <w:rPr>
                <w:rFonts w:ascii="Times New Roman" w:hAnsi="Times New Roman" w:cs="Times New Roman"/>
              </w:rPr>
              <w:t>4</w:t>
            </w:r>
            <w:r w:rsidRPr="003541AE">
              <w:rPr>
                <w:rFonts w:ascii="Times New Roman" w:hAnsi="Times New Roman" w:cs="Times New Roman"/>
              </w:rPr>
              <w:t xml:space="preserve"> odst. 4 písm. b)</w:t>
            </w:r>
          </w:p>
        </w:tc>
        <w:tc>
          <w:tcPr>
            <w:tcW w:w="2316" w:type="dxa"/>
            <w:gridSpan w:val="2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9C9B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Náklady na vlastní údržbu</w:t>
            </w:r>
          </w:p>
        </w:tc>
        <w:tc>
          <w:tcPr>
            <w:tcW w:w="2316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E1D9C6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Náklady na externí údržbu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06C573F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Náklady na opravy na základě vyhodnocení preventivní údržby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75BEF52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Náklady na opravy provedené po poruše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F8D1C3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Náklady na technické zhodnocení na základě vyhodnocení preventivní údržby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</w:tcPr>
          <w:p w14:paraId="20940FCA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 w:rsidRPr="00147BE7">
              <w:rPr>
                <w:rFonts w:ascii="Times New Roman" w:hAnsi="Times New Roman" w:cs="Times New Roman"/>
              </w:rPr>
              <w:t>Komentář k jednotlivým údajům</w:t>
            </w:r>
          </w:p>
        </w:tc>
      </w:tr>
      <w:tr w:rsidR="005918D6" w:rsidRPr="003541AE" w14:paraId="59CA975A" w14:textId="77777777" w:rsidTr="00785869">
        <w:trPr>
          <w:jc w:val="center"/>
        </w:trPr>
        <w:tc>
          <w:tcPr>
            <w:tcW w:w="0" w:type="auto"/>
            <w:vMerge/>
            <w:tcBorders>
              <w:bottom w:val="single" w:sz="2" w:space="0" w:color="auto"/>
            </w:tcBorders>
            <w:vAlign w:val="center"/>
          </w:tcPr>
          <w:p w14:paraId="73C670B9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EDF5987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Plán</w:t>
            </w:r>
          </w:p>
        </w:tc>
        <w:tc>
          <w:tcPr>
            <w:tcW w:w="1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A4E4E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Skutečnost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1B045D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Plán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8351B4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Skutečnost</w:t>
            </w:r>
          </w:p>
        </w:tc>
        <w:tc>
          <w:tcPr>
            <w:tcW w:w="0" w:type="auto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7E25222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075EA59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6AC25E3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2" w:space="0" w:color="auto"/>
            </w:tcBorders>
          </w:tcPr>
          <w:p w14:paraId="153628DE" w14:textId="77777777" w:rsidR="005918D6" w:rsidRPr="00147BE7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8D6" w:rsidRPr="003541AE" w14:paraId="48022E1D" w14:textId="77777777" w:rsidTr="00785869">
        <w:trPr>
          <w:trHeight w:val="58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C1D3535" w14:textId="77777777" w:rsidR="005918D6" w:rsidRDefault="005918D6" w:rsidP="005918D6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Napěťová hladina NN (&lt; 1000 V)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8F001B" w14:textId="72E8B7D1" w:rsidR="005918D6" w:rsidRPr="003541AE" w:rsidRDefault="00785869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top w:val="single" w:sz="2" w:space="0" w:color="auto"/>
              <w:bottom w:val="single" w:sz="2" w:space="0" w:color="auto"/>
            </w:tcBorders>
          </w:tcPr>
          <w:p w14:paraId="6403DB15" w14:textId="64E0CEB3" w:rsidR="005918D6" w:rsidRPr="003541AE" w:rsidRDefault="00785869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F89537" w14:textId="06EC15D7" w:rsidR="005918D6" w:rsidRPr="003541AE" w:rsidRDefault="00785869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2" w:type="dxa"/>
            <w:tcBorders>
              <w:top w:val="single" w:sz="2" w:space="0" w:color="auto"/>
              <w:bottom w:val="single" w:sz="2" w:space="0" w:color="auto"/>
            </w:tcBorders>
          </w:tcPr>
          <w:p w14:paraId="158117A1" w14:textId="7D3FC2B2" w:rsidR="005918D6" w:rsidRPr="003541AE" w:rsidRDefault="00785869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4743B42" w14:textId="5840598C" w:rsidR="005918D6" w:rsidRPr="003541AE" w:rsidRDefault="00785869" w:rsidP="007A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120D32" w14:textId="3F4FB6C0" w:rsidR="005918D6" w:rsidRPr="003541AE" w:rsidRDefault="00785869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91162D" w14:textId="057ACCC0" w:rsidR="005918D6" w:rsidRPr="003541AE" w:rsidRDefault="00785869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60C7C1D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8D6" w:rsidRPr="003541AE" w14:paraId="70524E08" w14:textId="77777777" w:rsidTr="00785869">
        <w:trPr>
          <w:trHeight w:val="58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6AFF69D" w14:textId="77777777" w:rsidR="005918D6" w:rsidRPr="003541AE" w:rsidRDefault="005918D6" w:rsidP="005918D6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Napěťová hladina V</w:t>
            </w:r>
            <w:r w:rsidRPr="003541A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(1000 V – 52 </w:t>
            </w:r>
            <w:proofErr w:type="spellStart"/>
            <w:r>
              <w:rPr>
                <w:rFonts w:ascii="Times New Roman" w:hAnsi="Times New Roman" w:cs="Times New Roman"/>
              </w:rPr>
              <w:t>kV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794A3F9" w14:textId="4B4A94F9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2" w:space="0" w:color="auto"/>
              <w:bottom w:val="single" w:sz="2" w:space="0" w:color="auto"/>
            </w:tcBorders>
          </w:tcPr>
          <w:p w14:paraId="1C63777A" w14:textId="6B23A7F8" w:rsidR="005918D6" w:rsidRPr="003541AE" w:rsidRDefault="005918D6" w:rsidP="007A5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EB4C14" w14:textId="719100BE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2" w:space="0" w:color="auto"/>
              <w:bottom w:val="single" w:sz="2" w:space="0" w:color="auto"/>
            </w:tcBorders>
          </w:tcPr>
          <w:p w14:paraId="13D25D0E" w14:textId="6BC204E8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48A7FF" w14:textId="37B83098" w:rsidR="005918D6" w:rsidRPr="003541AE" w:rsidRDefault="005918D6" w:rsidP="007A5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61A72B" w14:textId="48249916" w:rsidR="005918D6" w:rsidRPr="003541AE" w:rsidRDefault="005918D6" w:rsidP="007A5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570C0A" w14:textId="1524A5AC" w:rsidR="005918D6" w:rsidRPr="003541AE" w:rsidRDefault="00785869" w:rsidP="007A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575B94B" w14:textId="77777777" w:rsidR="005918D6" w:rsidRPr="003541AE" w:rsidRDefault="005918D6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B6F" w:rsidRPr="003541AE" w14:paraId="7230BC38" w14:textId="77777777" w:rsidTr="00256B6F">
        <w:trPr>
          <w:trHeight w:val="58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088764E" w14:textId="73643AD3" w:rsidR="005918D6" w:rsidRDefault="005918D6" w:rsidP="005918D6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Napěťová hladina VVN (52 </w:t>
            </w:r>
            <w:proofErr w:type="spellStart"/>
            <w:r>
              <w:rPr>
                <w:rFonts w:ascii="Times New Roman" w:hAnsi="Times New Roman" w:cs="Times New Roman"/>
              </w:rPr>
              <w:t>kV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300 </w:t>
            </w:r>
            <w:proofErr w:type="spellStart"/>
            <w:r>
              <w:rPr>
                <w:rFonts w:ascii="Times New Roman" w:hAnsi="Times New Roman" w:cs="Times New Roman"/>
              </w:rPr>
              <w:t>kV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2F494E" w14:textId="1F6699F2" w:rsidR="005918D6" w:rsidRPr="003541AE" w:rsidRDefault="00785869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top w:val="single" w:sz="2" w:space="0" w:color="auto"/>
              <w:bottom w:val="single" w:sz="2" w:space="0" w:color="auto"/>
            </w:tcBorders>
          </w:tcPr>
          <w:p w14:paraId="671C0D4D" w14:textId="3E2CA87D" w:rsidR="005918D6" w:rsidRPr="003541AE" w:rsidRDefault="00785869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372641" w14:textId="57B3864D" w:rsidR="005918D6" w:rsidRPr="003541AE" w:rsidRDefault="00785869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82" w:type="dxa"/>
            <w:tcBorders>
              <w:top w:val="single" w:sz="2" w:space="0" w:color="auto"/>
              <w:bottom w:val="single" w:sz="2" w:space="0" w:color="auto"/>
            </w:tcBorders>
          </w:tcPr>
          <w:p w14:paraId="70C358F0" w14:textId="72C43CE9" w:rsidR="005918D6" w:rsidRPr="003541AE" w:rsidRDefault="00785869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37DA6A" w14:textId="302CFDCD" w:rsidR="005918D6" w:rsidRPr="003541AE" w:rsidRDefault="00785869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C2C54A" w14:textId="3F11BAC2" w:rsidR="005918D6" w:rsidRPr="003541AE" w:rsidRDefault="00785869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1764E1" w14:textId="39F47992" w:rsidR="005918D6" w:rsidRPr="003541AE" w:rsidRDefault="00785869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185B9AC" w14:textId="78BFC11D" w:rsidR="005918D6" w:rsidRPr="003541AE" w:rsidRDefault="00474635" w:rsidP="00785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Soustava je v nájmu</w:t>
            </w:r>
          </w:p>
        </w:tc>
      </w:tr>
      <w:tr w:rsidR="00256B6F" w:rsidRPr="003541AE" w14:paraId="702A10F6" w14:textId="77777777" w:rsidTr="00785869">
        <w:trPr>
          <w:trHeight w:val="58"/>
          <w:jc w:val="center"/>
        </w:trPr>
        <w:tc>
          <w:tcPr>
            <w:tcW w:w="0" w:type="auto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9E7582C" w14:textId="544AF9DC" w:rsidR="00256B6F" w:rsidRDefault="00256B6F" w:rsidP="005918D6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Napěťová hladina ZVN (300 </w:t>
            </w:r>
            <w:proofErr w:type="spellStart"/>
            <w:r>
              <w:rPr>
                <w:rFonts w:ascii="Times New Roman" w:hAnsi="Times New Roman" w:cs="Times New Roman"/>
              </w:rPr>
              <w:t>kV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800 </w:t>
            </w:r>
            <w:proofErr w:type="spellStart"/>
            <w:r>
              <w:rPr>
                <w:rFonts w:ascii="Times New Roman" w:hAnsi="Times New Roman" w:cs="Times New Roman"/>
              </w:rPr>
              <w:t>kV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2E5644" w14:textId="77777777" w:rsidR="00256B6F" w:rsidRPr="003541AE" w:rsidRDefault="00256B6F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2" w:space="0" w:color="auto"/>
              <w:bottom w:val="single" w:sz="18" w:space="0" w:color="auto"/>
            </w:tcBorders>
          </w:tcPr>
          <w:p w14:paraId="1BB05715" w14:textId="77777777" w:rsidR="00256B6F" w:rsidRPr="003541AE" w:rsidRDefault="00256B6F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097514" w14:textId="77777777" w:rsidR="00256B6F" w:rsidRPr="003541AE" w:rsidRDefault="00256B6F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2" w:space="0" w:color="auto"/>
              <w:bottom w:val="single" w:sz="18" w:space="0" w:color="auto"/>
            </w:tcBorders>
          </w:tcPr>
          <w:p w14:paraId="20DD5FCD" w14:textId="40AA4DCF" w:rsidR="00256B6F" w:rsidRPr="003541AE" w:rsidRDefault="00256B6F" w:rsidP="005574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B105A6" w14:textId="77777777" w:rsidR="00256B6F" w:rsidRPr="003541AE" w:rsidRDefault="00256B6F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D32AAC4" w14:textId="77777777" w:rsidR="00256B6F" w:rsidRPr="003541AE" w:rsidRDefault="00256B6F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CDE589" w14:textId="77777777" w:rsidR="00256B6F" w:rsidRPr="003541AE" w:rsidRDefault="00256B6F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8" w:space="0" w:color="auto"/>
            </w:tcBorders>
          </w:tcPr>
          <w:p w14:paraId="54EBABC9" w14:textId="77777777" w:rsidR="00256B6F" w:rsidRPr="003541AE" w:rsidRDefault="00256B6F" w:rsidP="00785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B1AE26" w14:textId="77777777" w:rsidR="009D2503" w:rsidRPr="003541AE" w:rsidRDefault="009D2503" w:rsidP="009D2503">
      <w:pPr>
        <w:rPr>
          <w:rFonts w:ascii="Times New Roman" w:hAnsi="Times New Roman" w:cs="Times New Roman"/>
          <w:bCs/>
          <w:i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141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2"/>
        <w:gridCol w:w="5753"/>
        <w:gridCol w:w="2670"/>
      </w:tblGrid>
      <w:tr w:rsidR="00EA76B3" w:rsidRPr="003541AE" w14:paraId="481F2964" w14:textId="77777777" w:rsidTr="009D2503">
        <w:trPr>
          <w:trHeight w:val="283"/>
        </w:trPr>
        <w:tc>
          <w:tcPr>
            <w:tcW w:w="5752" w:type="dxa"/>
            <w:shd w:val="clear" w:color="auto" w:fill="FFFFFF" w:themeFill="background1"/>
            <w:vAlign w:val="center"/>
          </w:tcPr>
          <w:p w14:paraId="0572C0C0" w14:textId="77777777" w:rsidR="00EA76B3" w:rsidRPr="003541AE" w:rsidRDefault="00EA76B3" w:rsidP="00D41900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zpracoval (jméno, příjmení, funkce, telefon):</w:t>
            </w:r>
          </w:p>
        </w:tc>
        <w:tc>
          <w:tcPr>
            <w:tcW w:w="5753" w:type="dxa"/>
            <w:shd w:val="clear" w:color="auto" w:fill="FFFFFF" w:themeFill="background1"/>
            <w:vAlign w:val="center"/>
          </w:tcPr>
          <w:p w14:paraId="1E592A2B" w14:textId="77777777" w:rsidR="00EA76B3" w:rsidRPr="003541AE" w:rsidRDefault="00EA76B3" w:rsidP="00D41900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schválil (jméno, příjmení, funkce):</w:t>
            </w:r>
          </w:p>
        </w:tc>
        <w:tc>
          <w:tcPr>
            <w:tcW w:w="2670" w:type="dxa"/>
            <w:shd w:val="clear" w:color="auto" w:fill="FFFFFF" w:themeFill="background1"/>
            <w:vAlign w:val="center"/>
          </w:tcPr>
          <w:p w14:paraId="5DB371BC" w14:textId="77777777" w:rsidR="00EA76B3" w:rsidRPr="003541AE" w:rsidRDefault="00EA76B3" w:rsidP="00D41900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3541AE">
              <w:rPr>
                <w:rFonts w:ascii="Times New Roman" w:hAnsi="Times New Roman" w:cs="Times New Roman"/>
              </w:rPr>
              <w:t>datum:</w:t>
            </w:r>
          </w:p>
        </w:tc>
      </w:tr>
      <w:tr w:rsidR="00EA76B3" w:rsidRPr="003541AE" w14:paraId="70E59F9A" w14:textId="77777777" w:rsidTr="009D2503">
        <w:trPr>
          <w:trHeight w:val="283"/>
        </w:trPr>
        <w:tc>
          <w:tcPr>
            <w:tcW w:w="5752" w:type="dxa"/>
            <w:shd w:val="clear" w:color="auto" w:fill="FFFFFF" w:themeFill="background1"/>
            <w:vAlign w:val="center"/>
          </w:tcPr>
          <w:p w14:paraId="6E83B0F9" w14:textId="2E83CC77" w:rsidR="00EA76B3" w:rsidRPr="003541AE" w:rsidRDefault="00144167" w:rsidP="00DB498A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Zdeněk Medřický, jednatel, </w:t>
            </w:r>
            <w:r w:rsidR="00DB498A">
              <w:rPr>
                <w:rFonts w:ascii="Times New Roman" w:hAnsi="Times New Roman" w:cs="Times New Roman"/>
              </w:rPr>
              <w:t>777608039</w:t>
            </w:r>
          </w:p>
        </w:tc>
        <w:tc>
          <w:tcPr>
            <w:tcW w:w="5753" w:type="dxa"/>
            <w:shd w:val="clear" w:color="auto" w:fill="FFFFFF" w:themeFill="background1"/>
            <w:vAlign w:val="center"/>
          </w:tcPr>
          <w:p w14:paraId="4D2943E1" w14:textId="6D7FDF52" w:rsidR="00EA76B3" w:rsidRPr="003541AE" w:rsidRDefault="00144167" w:rsidP="00DB498A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Zdeněk Medřický, jednatel, </w:t>
            </w:r>
            <w:r w:rsidR="00DB498A">
              <w:rPr>
                <w:rFonts w:ascii="Times New Roman" w:hAnsi="Times New Roman" w:cs="Times New Roman"/>
              </w:rPr>
              <w:t>777608039</w:t>
            </w:r>
          </w:p>
        </w:tc>
        <w:tc>
          <w:tcPr>
            <w:tcW w:w="2670" w:type="dxa"/>
            <w:shd w:val="clear" w:color="auto" w:fill="FFFFFF" w:themeFill="background1"/>
            <w:vAlign w:val="center"/>
          </w:tcPr>
          <w:p w14:paraId="431DFFA8" w14:textId="3665808F" w:rsidR="00EA76B3" w:rsidRPr="003541AE" w:rsidRDefault="00DB498A" w:rsidP="004261A5">
            <w:pPr>
              <w:keepNext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</w:t>
            </w:r>
            <w:r w:rsidR="004261A5">
              <w:rPr>
                <w:rFonts w:ascii="Times New Roman" w:hAnsi="Times New Roman" w:cs="Times New Roman"/>
              </w:rPr>
              <w:t>.</w:t>
            </w:r>
            <w:r w:rsidR="00144167">
              <w:rPr>
                <w:rFonts w:ascii="Times New Roman" w:hAnsi="Times New Roman" w:cs="Times New Roman"/>
              </w:rPr>
              <w:t>4.202</w:t>
            </w:r>
            <w:r w:rsidR="004261A5">
              <w:rPr>
                <w:rFonts w:ascii="Times New Roman" w:hAnsi="Times New Roman" w:cs="Times New Roman"/>
              </w:rPr>
              <w:t>5</w:t>
            </w:r>
            <w:proofErr w:type="gramEnd"/>
          </w:p>
        </w:tc>
      </w:tr>
    </w:tbl>
    <w:p w14:paraId="3428D367" w14:textId="77777777" w:rsidR="00EA76B3" w:rsidRPr="003541AE" w:rsidRDefault="00EA76B3" w:rsidP="00EA76B3">
      <w:pPr>
        <w:rPr>
          <w:rFonts w:ascii="Times New Roman" w:hAnsi="Times New Roman" w:cs="Times New Roman"/>
        </w:rPr>
      </w:pPr>
    </w:p>
    <w:sectPr w:rsidR="00EA76B3" w:rsidRPr="003541AE" w:rsidSect="006D60E7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80600" w14:textId="77777777" w:rsidR="001329A5" w:rsidRDefault="001329A5" w:rsidP="00B322CA">
      <w:pPr>
        <w:spacing w:after="0" w:line="240" w:lineRule="auto"/>
      </w:pPr>
      <w:r>
        <w:separator/>
      </w:r>
    </w:p>
  </w:endnote>
  <w:endnote w:type="continuationSeparator" w:id="0">
    <w:p w14:paraId="0BE14F59" w14:textId="77777777" w:rsidR="001329A5" w:rsidRDefault="001329A5" w:rsidP="00B3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CEZC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674461"/>
      <w:docPartObj>
        <w:docPartGallery w:val="Page Numbers (Bottom of Page)"/>
        <w:docPartUnique/>
      </w:docPartObj>
    </w:sdtPr>
    <w:sdtContent>
      <w:p w14:paraId="7CE68B18" w14:textId="77777777" w:rsidR="00785869" w:rsidRDefault="007858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635">
          <w:rPr>
            <w:noProof/>
          </w:rPr>
          <w:t>10</w:t>
        </w:r>
        <w:r>
          <w:fldChar w:fldCharType="end"/>
        </w:r>
      </w:p>
    </w:sdtContent>
  </w:sdt>
  <w:p w14:paraId="337315E6" w14:textId="77777777" w:rsidR="00785869" w:rsidRDefault="007858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F6B3C" w14:textId="77777777" w:rsidR="001329A5" w:rsidRDefault="001329A5" w:rsidP="00B322CA">
      <w:pPr>
        <w:spacing w:after="0" w:line="240" w:lineRule="auto"/>
      </w:pPr>
      <w:r>
        <w:separator/>
      </w:r>
    </w:p>
  </w:footnote>
  <w:footnote w:type="continuationSeparator" w:id="0">
    <w:p w14:paraId="2D799C1D" w14:textId="77777777" w:rsidR="001329A5" w:rsidRDefault="001329A5" w:rsidP="00B32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4F46"/>
    <w:multiLevelType w:val="hybridMultilevel"/>
    <w:tmpl w:val="48344AD8"/>
    <w:lvl w:ilvl="0" w:tplc="21425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B3C4C"/>
    <w:multiLevelType w:val="hybridMultilevel"/>
    <w:tmpl w:val="829868D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F29F6"/>
    <w:multiLevelType w:val="hybridMultilevel"/>
    <w:tmpl w:val="9AAC5D2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F540F"/>
    <w:multiLevelType w:val="hybridMultilevel"/>
    <w:tmpl w:val="1D9663C6"/>
    <w:lvl w:ilvl="0" w:tplc="D3D65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1744F6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960B7"/>
    <w:multiLevelType w:val="hybridMultilevel"/>
    <w:tmpl w:val="829868D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25850"/>
    <w:multiLevelType w:val="hybridMultilevel"/>
    <w:tmpl w:val="829868D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32261"/>
    <w:multiLevelType w:val="hybridMultilevel"/>
    <w:tmpl w:val="9AAC5D2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2014D"/>
    <w:multiLevelType w:val="hybridMultilevel"/>
    <w:tmpl w:val="F336EA70"/>
    <w:lvl w:ilvl="0" w:tplc="F8B4D1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D583E"/>
    <w:multiLevelType w:val="hybridMultilevel"/>
    <w:tmpl w:val="A1B8BE40"/>
    <w:lvl w:ilvl="0" w:tplc="D4D0B778">
      <w:start w:val="1"/>
      <w:numFmt w:val="decimal"/>
      <w:pStyle w:val="SLOOstavec"/>
      <w:lvlText w:val="(%1)"/>
      <w:lvlJc w:val="left"/>
      <w:pPr>
        <w:ind w:left="360" w:hanging="360"/>
      </w:pPr>
      <w:rPr>
        <w:rFonts w:hint="default"/>
      </w:rPr>
    </w:lvl>
    <w:lvl w:ilvl="1" w:tplc="39F87172">
      <w:start w:val="1"/>
      <w:numFmt w:val="lowerLetter"/>
      <w:pStyle w:val="PSMOdstavec"/>
      <w:lvlText w:val="%2)"/>
      <w:lvlJc w:val="left"/>
      <w:pPr>
        <w:ind w:left="644" w:hanging="360"/>
      </w:pPr>
      <w:rPr>
        <w:rFonts w:hint="default"/>
      </w:rPr>
    </w:lvl>
    <w:lvl w:ilvl="2" w:tplc="4020721C">
      <w:start w:val="1"/>
      <w:numFmt w:val="decimal"/>
      <w:pStyle w:val="BODOdstavec"/>
      <w:lvlText w:val="%3."/>
      <w:lvlJc w:val="left"/>
      <w:pPr>
        <w:ind w:left="1800" w:hanging="180"/>
      </w:pPr>
      <w:rPr>
        <w:color w:val="auto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90532D"/>
    <w:multiLevelType w:val="hybridMultilevel"/>
    <w:tmpl w:val="9AAC5D2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D1825"/>
    <w:multiLevelType w:val="hybridMultilevel"/>
    <w:tmpl w:val="9AAC5D2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E13F4"/>
    <w:multiLevelType w:val="hybridMultilevel"/>
    <w:tmpl w:val="9AAC5D2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E22B9"/>
    <w:multiLevelType w:val="hybridMultilevel"/>
    <w:tmpl w:val="9AAC5D2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379E0"/>
    <w:multiLevelType w:val="hybridMultilevel"/>
    <w:tmpl w:val="5DDC359C"/>
    <w:lvl w:ilvl="0" w:tplc="0C2C78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61DF76F3"/>
    <w:multiLevelType w:val="hybridMultilevel"/>
    <w:tmpl w:val="14CC4C1C"/>
    <w:lvl w:ilvl="0" w:tplc="288CDFC8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38417AA"/>
    <w:multiLevelType w:val="hybridMultilevel"/>
    <w:tmpl w:val="829868D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9113C"/>
    <w:multiLevelType w:val="hybridMultilevel"/>
    <w:tmpl w:val="829868D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123A9"/>
    <w:multiLevelType w:val="hybridMultilevel"/>
    <w:tmpl w:val="4A0E9410"/>
    <w:lvl w:ilvl="0" w:tplc="8DAA3C5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9"/>
  </w:num>
  <w:num w:numId="5">
    <w:abstractNumId w:val="5"/>
  </w:num>
  <w:num w:numId="6">
    <w:abstractNumId w:val="16"/>
  </w:num>
  <w:num w:numId="7">
    <w:abstractNumId w:val="1"/>
  </w:num>
  <w:num w:numId="8">
    <w:abstractNumId w:val="11"/>
  </w:num>
  <w:num w:numId="9">
    <w:abstractNumId w:val="2"/>
  </w:num>
  <w:num w:numId="10">
    <w:abstractNumId w:val="8"/>
  </w:num>
  <w:num w:numId="11">
    <w:abstractNumId w:val="6"/>
  </w:num>
  <w:num w:numId="12">
    <w:abstractNumId w:val="10"/>
  </w:num>
  <w:num w:numId="13">
    <w:abstractNumId w:val="13"/>
  </w:num>
  <w:num w:numId="14">
    <w:abstractNumId w:val="14"/>
  </w:num>
  <w:num w:numId="15">
    <w:abstractNumId w:val="4"/>
  </w:num>
  <w:num w:numId="16">
    <w:abstractNumId w:val="0"/>
  </w:num>
  <w:num w:numId="17">
    <w:abstractNumId w:val="7"/>
  </w:num>
  <w:num w:numId="1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C3"/>
    <w:rsid w:val="0000739D"/>
    <w:rsid w:val="00021719"/>
    <w:rsid w:val="000275B7"/>
    <w:rsid w:val="00030EB9"/>
    <w:rsid w:val="00031F0B"/>
    <w:rsid w:val="0004154F"/>
    <w:rsid w:val="00043104"/>
    <w:rsid w:val="000608CF"/>
    <w:rsid w:val="00087E3E"/>
    <w:rsid w:val="00092AB4"/>
    <w:rsid w:val="00097A18"/>
    <w:rsid w:val="000A1ACD"/>
    <w:rsid w:val="000A20A9"/>
    <w:rsid w:val="000A22ED"/>
    <w:rsid w:val="000B0A97"/>
    <w:rsid w:val="000B1A59"/>
    <w:rsid w:val="000B1E55"/>
    <w:rsid w:val="000B2EEE"/>
    <w:rsid w:val="000B58D6"/>
    <w:rsid w:val="000B7078"/>
    <w:rsid w:val="000C0386"/>
    <w:rsid w:val="000C4A73"/>
    <w:rsid w:val="000C53DE"/>
    <w:rsid w:val="000C6EB7"/>
    <w:rsid w:val="000C7758"/>
    <w:rsid w:val="000D78A6"/>
    <w:rsid w:val="00102D8E"/>
    <w:rsid w:val="00107E41"/>
    <w:rsid w:val="001111CF"/>
    <w:rsid w:val="001329A5"/>
    <w:rsid w:val="001329CA"/>
    <w:rsid w:val="001375DE"/>
    <w:rsid w:val="00140715"/>
    <w:rsid w:val="00143F92"/>
    <w:rsid w:val="00144167"/>
    <w:rsid w:val="00147BE7"/>
    <w:rsid w:val="001534C8"/>
    <w:rsid w:val="0015513B"/>
    <w:rsid w:val="0015774D"/>
    <w:rsid w:val="001618C3"/>
    <w:rsid w:val="00162B4E"/>
    <w:rsid w:val="0016497D"/>
    <w:rsid w:val="00174A94"/>
    <w:rsid w:val="00185414"/>
    <w:rsid w:val="00185F44"/>
    <w:rsid w:val="00186983"/>
    <w:rsid w:val="001908B4"/>
    <w:rsid w:val="001A1B48"/>
    <w:rsid w:val="001B4F95"/>
    <w:rsid w:val="001C2754"/>
    <w:rsid w:val="001C5B74"/>
    <w:rsid w:val="001D7D75"/>
    <w:rsid w:val="001E7AC8"/>
    <w:rsid w:val="001E7AFD"/>
    <w:rsid w:val="001F25EB"/>
    <w:rsid w:val="00201A87"/>
    <w:rsid w:val="00207619"/>
    <w:rsid w:val="0021575F"/>
    <w:rsid w:val="0022169B"/>
    <w:rsid w:val="002334AE"/>
    <w:rsid w:val="00235371"/>
    <w:rsid w:val="00237B68"/>
    <w:rsid w:val="00240DEF"/>
    <w:rsid w:val="002411B5"/>
    <w:rsid w:val="002433A2"/>
    <w:rsid w:val="00246C1A"/>
    <w:rsid w:val="00256B6F"/>
    <w:rsid w:val="00262B82"/>
    <w:rsid w:val="002668AC"/>
    <w:rsid w:val="002778EA"/>
    <w:rsid w:val="002808F9"/>
    <w:rsid w:val="002809AF"/>
    <w:rsid w:val="00296196"/>
    <w:rsid w:val="002A15F5"/>
    <w:rsid w:val="002B678C"/>
    <w:rsid w:val="002F0131"/>
    <w:rsid w:val="002F45D8"/>
    <w:rsid w:val="002F7410"/>
    <w:rsid w:val="0030268E"/>
    <w:rsid w:val="003068A7"/>
    <w:rsid w:val="00310F72"/>
    <w:rsid w:val="00321591"/>
    <w:rsid w:val="003304E7"/>
    <w:rsid w:val="00331799"/>
    <w:rsid w:val="003360F0"/>
    <w:rsid w:val="00336F13"/>
    <w:rsid w:val="00342B33"/>
    <w:rsid w:val="003459C5"/>
    <w:rsid w:val="00347408"/>
    <w:rsid w:val="00352AC0"/>
    <w:rsid w:val="003541AE"/>
    <w:rsid w:val="00355EE3"/>
    <w:rsid w:val="00357C3E"/>
    <w:rsid w:val="00371846"/>
    <w:rsid w:val="00372B3D"/>
    <w:rsid w:val="00374CBC"/>
    <w:rsid w:val="00375C30"/>
    <w:rsid w:val="00384BF1"/>
    <w:rsid w:val="0038650A"/>
    <w:rsid w:val="00392194"/>
    <w:rsid w:val="003A1175"/>
    <w:rsid w:val="003B14BA"/>
    <w:rsid w:val="003D7119"/>
    <w:rsid w:val="003E1D66"/>
    <w:rsid w:val="003E371A"/>
    <w:rsid w:val="003E3F0E"/>
    <w:rsid w:val="003E44BF"/>
    <w:rsid w:val="003E5EEF"/>
    <w:rsid w:val="003F3312"/>
    <w:rsid w:val="003F45E6"/>
    <w:rsid w:val="003F7A63"/>
    <w:rsid w:val="00403017"/>
    <w:rsid w:val="00406A7E"/>
    <w:rsid w:val="0041217B"/>
    <w:rsid w:val="0041711B"/>
    <w:rsid w:val="0042573F"/>
    <w:rsid w:val="004261A5"/>
    <w:rsid w:val="004325A6"/>
    <w:rsid w:val="004361D6"/>
    <w:rsid w:val="004376F4"/>
    <w:rsid w:val="00441525"/>
    <w:rsid w:val="00443098"/>
    <w:rsid w:val="0045407A"/>
    <w:rsid w:val="00457926"/>
    <w:rsid w:val="00457981"/>
    <w:rsid w:val="00462E2C"/>
    <w:rsid w:val="00466B79"/>
    <w:rsid w:val="00474635"/>
    <w:rsid w:val="00474DDE"/>
    <w:rsid w:val="00476D29"/>
    <w:rsid w:val="00477C82"/>
    <w:rsid w:val="004822E4"/>
    <w:rsid w:val="00484549"/>
    <w:rsid w:val="00496B29"/>
    <w:rsid w:val="0049725B"/>
    <w:rsid w:val="004A1101"/>
    <w:rsid w:val="004B183D"/>
    <w:rsid w:val="004B2AA1"/>
    <w:rsid w:val="004B2DEC"/>
    <w:rsid w:val="004C03E5"/>
    <w:rsid w:val="004C68C7"/>
    <w:rsid w:val="004C7A2D"/>
    <w:rsid w:val="004D3F60"/>
    <w:rsid w:val="004E249E"/>
    <w:rsid w:val="004E32CF"/>
    <w:rsid w:val="004E638C"/>
    <w:rsid w:val="004F02B2"/>
    <w:rsid w:val="004F07AB"/>
    <w:rsid w:val="004F4525"/>
    <w:rsid w:val="004F6919"/>
    <w:rsid w:val="005000A6"/>
    <w:rsid w:val="00522D21"/>
    <w:rsid w:val="00525C31"/>
    <w:rsid w:val="0053411B"/>
    <w:rsid w:val="0053531F"/>
    <w:rsid w:val="00536191"/>
    <w:rsid w:val="005401B9"/>
    <w:rsid w:val="005438CC"/>
    <w:rsid w:val="00555CAF"/>
    <w:rsid w:val="0055742E"/>
    <w:rsid w:val="00566E11"/>
    <w:rsid w:val="00567208"/>
    <w:rsid w:val="00570E07"/>
    <w:rsid w:val="005749B3"/>
    <w:rsid w:val="0058491C"/>
    <w:rsid w:val="005859F3"/>
    <w:rsid w:val="005918D6"/>
    <w:rsid w:val="005A3125"/>
    <w:rsid w:val="005A4658"/>
    <w:rsid w:val="005A64EF"/>
    <w:rsid w:val="005B19B1"/>
    <w:rsid w:val="005B287A"/>
    <w:rsid w:val="005C0BE4"/>
    <w:rsid w:val="005D0EBD"/>
    <w:rsid w:val="005D14E8"/>
    <w:rsid w:val="005D3129"/>
    <w:rsid w:val="005D62DF"/>
    <w:rsid w:val="005E0E39"/>
    <w:rsid w:val="005E3134"/>
    <w:rsid w:val="005F1FE2"/>
    <w:rsid w:val="006012BF"/>
    <w:rsid w:val="006079C3"/>
    <w:rsid w:val="00610162"/>
    <w:rsid w:val="00610192"/>
    <w:rsid w:val="0061555B"/>
    <w:rsid w:val="00616AC2"/>
    <w:rsid w:val="00624131"/>
    <w:rsid w:val="0063005D"/>
    <w:rsid w:val="006306C0"/>
    <w:rsid w:val="006335C6"/>
    <w:rsid w:val="00644137"/>
    <w:rsid w:val="006512DC"/>
    <w:rsid w:val="006553C2"/>
    <w:rsid w:val="006628DD"/>
    <w:rsid w:val="00674F71"/>
    <w:rsid w:val="00676FF9"/>
    <w:rsid w:val="006966F0"/>
    <w:rsid w:val="006A0D3D"/>
    <w:rsid w:val="006A5649"/>
    <w:rsid w:val="006B035C"/>
    <w:rsid w:val="006B51C6"/>
    <w:rsid w:val="006B6DEF"/>
    <w:rsid w:val="006C1E28"/>
    <w:rsid w:val="006D16C5"/>
    <w:rsid w:val="006D5934"/>
    <w:rsid w:val="006D60E7"/>
    <w:rsid w:val="006E00D2"/>
    <w:rsid w:val="006E518D"/>
    <w:rsid w:val="006F0114"/>
    <w:rsid w:val="0070286B"/>
    <w:rsid w:val="00702B1D"/>
    <w:rsid w:val="007030D2"/>
    <w:rsid w:val="007313DD"/>
    <w:rsid w:val="00743502"/>
    <w:rsid w:val="00750B63"/>
    <w:rsid w:val="00760229"/>
    <w:rsid w:val="00761A37"/>
    <w:rsid w:val="007645C7"/>
    <w:rsid w:val="00772CA3"/>
    <w:rsid w:val="0078496C"/>
    <w:rsid w:val="00785869"/>
    <w:rsid w:val="00786676"/>
    <w:rsid w:val="007908D9"/>
    <w:rsid w:val="00791620"/>
    <w:rsid w:val="007A5B95"/>
    <w:rsid w:val="007A5EA6"/>
    <w:rsid w:val="007B05DB"/>
    <w:rsid w:val="007C504F"/>
    <w:rsid w:val="007C7E9D"/>
    <w:rsid w:val="007D2B5E"/>
    <w:rsid w:val="007D716C"/>
    <w:rsid w:val="007D7D6F"/>
    <w:rsid w:val="007E0E25"/>
    <w:rsid w:val="007E2162"/>
    <w:rsid w:val="007E4EE4"/>
    <w:rsid w:val="007E632F"/>
    <w:rsid w:val="007F0307"/>
    <w:rsid w:val="007F30FB"/>
    <w:rsid w:val="00801503"/>
    <w:rsid w:val="00805EB8"/>
    <w:rsid w:val="008060DB"/>
    <w:rsid w:val="0081730A"/>
    <w:rsid w:val="00822265"/>
    <w:rsid w:val="00826F99"/>
    <w:rsid w:val="008330E5"/>
    <w:rsid w:val="008341DB"/>
    <w:rsid w:val="0083794D"/>
    <w:rsid w:val="00841F62"/>
    <w:rsid w:val="00856059"/>
    <w:rsid w:val="0086534A"/>
    <w:rsid w:val="00867117"/>
    <w:rsid w:val="00874514"/>
    <w:rsid w:val="00883E2F"/>
    <w:rsid w:val="00884504"/>
    <w:rsid w:val="008A1836"/>
    <w:rsid w:val="008B1C8C"/>
    <w:rsid w:val="008B2062"/>
    <w:rsid w:val="008B6F1A"/>
    <w:rsid w:val="008D2DC4"/>
    <w:rsid w:val="008D5B77"/>
    <w:rsid w:val="008D68E2"/>
    <w:rsid w:val="008E5A11"/>
    <w:rsid w:val="008F0C8A"/>
    <w:rsid w:val="008F2AC8"/>
    <w:rsid w:val="008F5F19"/>
    <w:rsid w:val="00901C16"/>
    <w:rsid w:val="00904876"/>
    <w:rsid w:val="009057BF"/>
    <w:rsid w:val="00910150"/>
    <w:rsid w:val="00920A5B"/>
    <w:rsid w:val="00924CAB"/>
    <w:rsid w:val="00927474"/>
    <w:rsid w:val="00932742"/>
    <w:rsid w:val="0093548B"/>
    <w:rsid w:val="00937A82"/>
    <w:rsid w:val="00941B1A"/>
    <w:rsid w:val="00941FA1"/>
    <w:rsid w:val="009439BF"/>
    <w:rsid w:val="00945537"/>
    <w:rsid w:val="009475B7"/>
    <w:rsid w:val="0095034A"/>
    <w:rsid w:val="009616B3"/>
    <w:rsid w:val="00970BFA"/>
    <w:rsid w:val="00980742"/>
    <w:rsid w:val="00985652"/>
    <w:rsid w:val="00990F94"/>
    <w:rsid w:val="00995BAF"/>
    <w:rsid w:val="00995D25"/>
    <w:rsid w:val="009A0996"/>
    <w:rsid w:val="009B3790"/>
    <w:rsid w:val="009B70D7"/>
    <w:rsid w:val="009B79D9"/>
    <w:rsid w:val="009C3008"/>
    <w:rsid w:val="009C586C"/>
    <w:rsid w:val="009C7B3D"/>
    <w:rsid w:val="009D0782"/>
    <w:rsid w:val="009D0BBD"/>
    <w:rsid w:val="009D2503"/>
    <w:rsid w:val="009E2228"/>
    <w:rsid w:val="009E60B1"/>
    <w:rsid w:val="009F31B8"/>
    <w:rsid w:val="009F72E1"/>
    <w:rsid w:val="00A07407"/>
    <w:rsid w:val="00A1522B"/>
    <w:rsid w:val="00A15C17"/>
    <w:rsid w:val="00A21E0B"/>
    <w:rsid w:val="00A224FE"/>
    <w:rsid w:val="00A24B83"/>
    <w:rsid w:val="00A277C4"/>
    <w:rsid w:val="00A27F08"/>
    <w:rsid w:val="00A36B63"/>
    <w:rsid w:val="00A415F8"/>
    <w:rsid w:val="00A47969"/>
    <w:rsid w:val="00A56676"/>
    <w:rsid w:val="00A56B6B"/>
    <w:rsid w:val="00A67F85"/>
    <w:rsid w:val="00A7277A"/>
    <w:rsid w:val="00A76620"/>
    <w:rsid w:val="00A76BCF"/>
    <w:rsid w:val="00A807CA"/>
    <w:rsid w:val="00A813BE"/>
    <w:rsid w:val="00A83B18"/>
    <w:rsid w:val="00A94497"/>
    <w:rsid w:val="00AA0A18"/>
    <w:rsid w:val="00AA111A"/>
    <w:rsid w:val="00AA1942"/>
    <w:rsid w:val="00AC1308"/>
    <w:rsid w:val="00AC2E35"/>
    <w:rsid w:val="00AC3FAC"/>
    <w:rsid w:val="00AC5E5A"/>
    <w:rsid w:val="00AC754E"/>
    <w:rsid w:val="00AD3124"/>
    <w:rsid w:val="00AE1B51"/>
    <w:rsid w:val="00AE4C60"/>
    <w:rsid w:val="00AE57C6"/>
    <w:rsid w:val="00AF4D8C"/>
    <w:rsid w:val="00AF66F9"/>
    <w:rsid w:val="00AF6BA5"/>
    <w:rsid w:val="00B023D1"/>
    <w:rsid w:val="00B05292"/>
    <w:rsid w:val="00B24C19"/>
    <w:rsid w:val="00B259DC"/>
    <w:rsid w:val="00B2764C"/>
    <w:rsid w:val="00B3116A"/>
    <w:rsid w:val="00B322CA"/>
    <w:rsid w:val="00B32600"/>
    <w:rsid w:val="00B35BB8"/>
    <w:rsid w:val="00B50200"/>
    <w:rsid w:val="00B50EAD"/>
    <w:rsid w:val="00B65732"/>
    <w:rsid w:val="00B730AB"/>
    <w:rsid w:val="00B84C89"/>
    <w:rsid w:val="00BA0C65"/>
    <w:rsid w:val="00BB1C81"/>
    <w:rsid w:val="00BB5474"/>
    <w:rsid w:val="00BC5410"/>
    <w:rsid w:val="00BD0B03"/>
    <w:rsid w:val="00BD1EBE"/>
    <w:rsid w:val="00BD2472"/>
    <w:rsid w:val="00BD2E2C"/>
    <w:rsid w:val="00BE0785"/>
    <w:rsid w:val="00BE66EF"/>
    <w:rsid w:val="00C02B2B"/>
    <w:rsid w:val="00C06E74"/>
    <w:rsid w:val="00C13505"/>
    <w:rsid w:val="00C2312C"/>
    <w:rsid w:val="00C25FF0"/>
    <w:rsid w:val="00C304D6"/>
    <w:rsid w:val="00C40C8D"/>
    <w:rsid w:val="00C4124D"/>
    <w:rsid w:val="00C442D1"/>
    <w:rsid w:val="00C451DB"/>
    <w:rsid w:val="00C478BE"/>
    <w:rsid w:val="00C529A9"/>
    <w:rsid w:val="00C631AE"/>
    <w:rsid w:val="00C63EC8"/>
    <w:rsid w:val="00C640F0"/>
    <w:rsid w:val="00C70F11"/>
    <w:rsid w:val="00C71037"/>
    <w:rsid w:val="00C71298"/>
    <w:rsid w:val="00C74231"/>
    <w:rsid w:val="00C813B2"/>
    <w:rsid w:val="00C90406"/>
    <w:rsid w:val="00C96A11"/>
    <w:rsid w:val="00CB0158"/>
    <w:rsid w:val="00CC1FEF"/>
    <w:rsid w:val="00CC5266"/>
    <w:rsid w:val="00CD18E7"/>
    <w:rsid w:val="00CD361B"/>
    <w:rsid w:val="00CD74E5"/>
    <w:rsid w:val="00CE4D9A"/>
    <w:rsid w:val="00CE6946"/>
    <w:rsid w:val="00CE7DB0"/>
    <w:rsid w:val="00CF768A"/>
    <w:rsid w:val="00D03C46"/>
    <w:rsid w:val="00D046D8"/>
    <w:rsid w:val="00D06064"/>
    <w:rsid w:val="00D0738C"/>
    <w:rsid w:val="00D07DBB"/>
    <w:rsid w:val="00D2124D"/>
    <w:rsid w:val="00D25E01"/>
    <w:rsid w:val="00D323D4"/>
    <w:rsid w:val="00D32F30"/>
    <w:rsid w:val="00D3751F"/>
    <w:rsid w:val="00D41900"/>
    <w:rsid w:val="00D53A7D"/>
    <w:rsid w:val="00D73726"/>
    <w:rsid w:val="00D74FA1"/>
    <w:rsid w:val="00D7610E"/>
    <w:rsid w:val="00D81063"/>
    <w:rsid w:val="00D8115C"/>
    <w:rsid w:val="00D8217A"/>
    <w:rsid w:val="00D94001"/>
    <w:rsid w:val="00DA2131"/>
    <w:rsid w:val="00DA320E"/>
    <w:rsid w:val="00DA57ED"/>
    <w:rsid w:val="00DB1F69"/>
    <w:rsid w:val="00DB498A"/>
    <w:rsid w:val="00DC0E85"/>
    <w:rsid w:val="00DC5327"/>
    <w:rsid w:val="00DC574D"/>
    <w:rsid w:val="00DD2245"/>
    <w:rsid w:val="00DD501F"/>
    <w:rsid w:val="00DD53BC"/>
    <w:rsid w:val="00DD5876"/>
    <w:rsid w:val="00DE15A3"/>
    <w:rsid w:val="00DF7E66"/>
    <w:rsid w:val="00E0136C"/>
    <w:rsid w:val="00E01F8A"/>
    <w:rsid w:val="00E06CB1"/>
    <w:rsid w:val="00E1228A"/>
    <w:rsid w:val="00E15E93"/>
    <w:rsid w:val="00E164FB"/>
    <w:rsid w:val="00E21EE8"/>
    <w:rsid w:val="00E24711"/>
    <w:rsid w:val="00E24D46"/>
    <w:rsid w:val="00E2598D"/>
    <w:rsid w:val="00E305B6"/>
    <w:rsid w:val="00E30C42"/>
    <w:rsid w:val="00E34136"/>
    <w:rsid w:val="00E3413E"/>
    <w:rsid w:val="00E42B4F"/>
    <w:rsid w:val="00E60B5A"/>
    <w:rsid w:val="00E65CCC"/>
    <w:rsid w:val="00E80932"/>
    <w:rsid w:val="00E81FAF"/>
    <w:rsid w:val="00E8581F"/>
    <w:rsid w:val="00E91BEE"/>
    <w:rsid w:val="00E92CF7"/>
    <w:rsid w:val="00E9427D"/>
    <w:rsid w:val="00E96171"/>
    <w:rsid w:val="00EA6324"/>
    <w:rsid w:val="00EA76B3"/>
    <w:rsid w:val="00EB0F94"/>
    <w:rsid w:val="00EB2BDE"/>
    <w:rsid w:val="00EB6F4A"/>
    <w:rsid w:val="00EB7A0C"/>
    <w:rsid w:val="00EC26D0"/>
    <w:rsid w:val="00EC3AD6"/>
    <w:rsid w:val="00EC7219"/>
    <w:rsid w:val="00EC7D1E"/>
    <w:rsid w:val="00ED1561"/>
    <w:rsid w:val="00EE264C"/>
    <w:rsid w:val="00EE436C"/>
    <w:rsid w:val="00EE5440"/>
    <w:rsid w:val="00EE64A3"/>
    <w:rsid w:val="00EE667C"/>
    <w:rsid w:val="00EF5B8C"/>
    <w:rsid w:val="00F01A20"/>
    <w:rsid w:val="00F02389"/>
    <w:rsid w:val="00F03A0F"/>
    <w:rsid w:val="00F14489"/>
    <w:rsid w:val="00F23761"/>
    <w:rsid w:val="00F257BB"/>
    <w:rsid w:val="00F2698B"/>
    <w:rsid w:val="00F30C41"/>
    <w:rsid w:val="00F36BF4"/>
    <w:rsid w:val="00F371CD"/>
    <w:rsid w:val="00F4292F"/>
    <w:rsid w:val="00F52791"/>
    <w:rsid w:val="00F5387A"/>
    <w:rsid w:val="00F72338"/>
    <w:rsid w:val="00F73FEC"/>
    <w:rsid w:val="00F7665E"/>
    <w:rsid w:val="00F801CB"/>
    <w:rsid w:val="00F93E52"/>
    <w:rsid w:val="00FA18E2"/>
    <w:rsid w:val="00FA26A6"/>
    <w:rsid w:val="00FA2D24"/>
    <w:rsid w:val="00FB3B18"/>
    <w:rsid w:val="00FB44B3"/>
    <w:rsid w:val="00FC27C6"/>
    <w:rsid w:val="00FD1414"/>
    <w:rsid w:val="00FE3682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B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81F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079C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79C3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07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sid w:val="006079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79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0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Char">
    <w:name w:val="Paragraf Char"/>
    <w:basedOn w:val="Standardnpsmoodstavce"/>
    <w:link w:val="Paragraf"/>
    <w:locked/>
    <w:rsid w:val="006079C3"/>
    <w:rPr>
      <w:rFonts w:ascii="Times New Roman" w:eastAsiaTheme="majorEastAsia" w:hAnsi="Times New Roman" w:cstheme="majorBidi"/>
      <w:bCs/>
      <w:sz w:val="24"/>
      <w:szCs w:val="26"/>
    </w:rPr>
  </w:style>
  <w:style w:type="paragraph" w:customStyle="1" w:styleId="Paragraf">
    <w:name w:val="Paragraf"/>
    <w:basedOn w:val="Nadpis2"/>
    <w:link w:val="ParagrafChar"/>
    <w:qFormat/>
    <w:rsid w:val="006079C3"/>
    <w:pPr>
      <w:spacing w:before="240" w:after="120" w:line="240" w:lineRule="auto"/>
      <w:jc w:val="center"/>
    </w:pPr>
    <w:rPr>
      <w:rFonts w:ascii="Times New Roman" w:hAnsi="Times New Roman"/>
      <w:b w:val="0"/>
      <w:color w:val="auto"/>
      <w:sz w:val="24"/>
    </w:rPr>
  </w:style>
  <w:style w:type="paragraph" w:styleId="Zkladntext">
    <w:name w:val="Body Text"/>
    <w:basedOn w:val="Normln"/>
    <w:link w:val="ZkladntextChar"/>
    <w:semiHidden/>
    <w:rsid w:val="006079C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079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079C3"/>
    <w:pPr>
      <w:overflowPunct w:val="0"/>
      <w:autoSpaceDE w:val="0"/>
      <w:autoSpaceDN w:val="0"/>
      <w:adjustRightInd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079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6079C3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079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079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079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79C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-Normal">
    <w:name w:val="K-Normal"/>
    <w:basedOn w:val="Normln"/>
    <w:link w:val="K-NormalChar"/>
    <w:qFormat/>
    <w:rsid w:val="006079C3"/>
    <w:pPr>
      <w:keepLines/>
      <w:autoSpaceDE w:val="0"/>
      <w:autoSpaceDN w:val="0"/>
      <w:adjustRightInd w:val="0"/>
      <w:spacing w:after="120" w:line="264" w:lineRule="auto"/>
      <w:ind w:firstLine="284"/>
      <w:jc w:val="both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K-NormalChar">
    <w:name w:val="K-Normal Char"/>
    <w:basedOn w:val="Standardnpsmoodstavce"/>
    <w:link w:val="K-Normal"/>
    <w:rsid w:val="006079C3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9C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079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79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79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79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79C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079C3"/>
    <w:pPr>
      <w:spacing w:after="0" w:line="240" w:lineRule="auto"/>
    </w:pPr>
  </w:style>
  <w:style w:type="paragraph" w:customStyle="1" w:styleId="Default">
    <w:name w:val="Default"/>
    <w:rsid w:val="006079C3"/>
    <w:pPr>
      <w:autoSpaceDE w:val="0"/>
      <w:autoSpaceDN w:val="0"/>
      <w:adjustRightInd w:val="0"/>
      <w:spacing w:after="0" w:line="240" w:lineRule="auto"/>
    </w:pPr>
    <w:rPr>
      <w:rFonts w:ascii="Nimbus CEZCE" w:hAnsi="Nimbus CEZCE" w:cs="Nimbus CEZCE"/>
      <w:color w:val="000000"/>
      <w:sz w:val="24"/>
      <w:szCs w:val="24"/>
    </w:rPr>
  </w:style>
  <w:style w:type="character" w:customStyle="1" w:styleId="highlight">
    <w:name w:val="highlight"/>
    <w:basedOn w:val="Standardnpsmoodstavce"/>
    <w:rsid w:val="006079C3"/>
  </w:style>
  <w:style w:type="paragraph" w:styleId="Bezmezer">
    <w:name w:val="No Spacing"/>
    <w:uiPriority w:val="1"/>
    <w:qFormat/>
    <w:rsid w:val="0060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079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079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79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079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079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AC5E5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5E5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5E5A"/>
    <w:rPr>
      <w:vertAlign w:val="superscript"/>
    </w:rPr>
  </w:style>
  <w:style w:type="character" w:customStyle="1" w:styleId="CharStyle165">
    <w:name w:val="Char Style 165"/>
    <w:basedOn w:val="Standardnpsmoodstavce"/>
    <w:rsid w:val="006D60E7"/>
    <w:rPr>
      <w:rFonts w:ascii="Times New Roman" w:eastAsia="Times New Roman" w:hAnsi="Times New Roman" w:cs="Times New Roman"/>
      <w:color w:val="231F20"/>
      <w:spacing w:val="0"/>
      <w:w w:val="100"/>
      <w:position w:val="0"/>
      <w:sz w:val="18"/>
      <w:szCs w:val="18"/>
      <w:shd w:val="clear" w:color="auto" w:fill="FFFFFF"/>
      <w:lang w:val="cs"/>
    </w:rPr>
  </w:style>
  <w:style w:type="paragraph" w:customStyle="1" w:styleId="Paragraf-nzev">
    <w:name w:val="Paragraf - název"/>
    <w:basedOn w:val="Normln"/>
    <w:link w:val="Paragraf-nzevChar"/>
    <w:qFormat/>
    <w:rsid w:val="00C4124D"/>
    <w:pPr>
      <w:keepNext/>
      <w:keepLines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aragraf-nzevChar">
    <w:name w:val="Paragraf - název Char"/>
    <w:basedOn w:val="Standardnpsmoodstavce"/>
    <w:link w:val="Paragraf-nzev"/>
    <w:rsid w:val="00C412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LOOstavec">
    <w:name w:val="ČÍSLO Ostavec"/>
    <w:basedOn w:val="Normln"/>
    <w:link w:val="SLOOstavecChar"/>
    <w:qFormat/>
    <w:rsid w:val="0016497D"/>
    <w:pPr>
      <w:keepLines/>
      <w:numPr>
        <w:numId w:val="10"/>
      </w:numPr>
      <w:autoSpaceDE w:val="0"/>
      <w:autoSpaceDN w:val="0"/>
      <w:adjustRightInd w:val="0"/>
      <w:spacing w:after="120" w:line="264" w:lineRule="auto"/>
      <w:jc w:val="both"/>
    </w:pPr>
    <w:rPr>
      <w:rFonts w:ascii="Times New Roman" w:eastAsiaTheme="minorEastAsia" w:hAnsi="Times New Roman" w:cs="Times New Roman"/>
      <w:lang w:eastAsia="cs-CZ"/>
    </w:rPr>
  </w:style>
  <w:style w:type="character" w:customStyle="1" w:styleId="SLOOstavecChar">
    <w:name w:val="ČÍSLO Ostavec Char"/>
    <w:basedOn w:val="Standardnpsmoodstavce"/>
    <w:link w:val="SLOOstavec"/>
    <w:rsid w:val="0016497D"/>
    <w:rPr>
      <w:rFonts w:ascii="Times New Roman" w:eastAsiaTheme="minorEastAsia" w:hAnsi="Times New Roman" w:cs="Times New Roman"/>
      <w:lang w:eastAsia="cs-CZ"/>
    </w:rPr>
  </w:style>
  <w:style w:type="paragraph" w:customStyle="1" w:styleId="PSMOdstavec">
    <w:name w:val="PÍSM. Odstavec"/>
    <w:basedOn w:val="Normln"/>
    <w:link w:val="PSMOdstavecChar"/>
    <w:qFormat/>
    <w:rsid w:val="0016497D"/>
    <w:pPr>
      <w:keepLines/>
      <w:numPr>
        <w:ilvl w:val="1"/>
        <w:numId w:val="10"/>
      </w:numPr>
      <w:autoSpaceDE w:val="0"/>
      <w:autoSpaceDN w:val="0"/>
      <w:adjustRightInd w:val="0"/>
      <w:spacing w:after="120" w:line="264" w:lineRule="auto"/>
      <w:ind w:left="1276" w:hanging="272"/>
      <w:jc w:val="both"/>
    </w:pPr>
    <w:rPr>
      <w:rFonts w:ascii="Times New Roman" w:eastAsiaTheme="minorEastAsia" w:hAnsi="Times New Roman" w:cs="Times New Roman"/>
      <w:lang w:eastAsia="cs-CZ"/>
    </w:rPr>
  </w:style>
  <w:style w:type="paragraph" w:customStyle="1" w:styleId="BODOdstavec">
    <w:name w:val="BOD Odstavec"/>
    <w:basedOn w:val="Normln"/>
    <w:qFormat/>
    <w:rsid w:val="0016497D"/>
    <w:pPr>
      <w:keepLines/>
      <w:numPr>
        <w:ilvl w:val="2"/>
        <w:numId w:val="10"/>
      </w:numPr>
      <w:autoSpaceDE w:val="0"/>
      <w:autoSpaceDN w:val="0"/>
      <w:adjustRightInd w:val="0"/>
      <w:spacing w:after="60" w:line="240" w:lineRule="auto"/>
      <w:ind w:left="2268" w:hanging="364"/>
      <w:jc w:val="both"/>
    </w:pPr>
    <w:rPr>
      <w:rFonts w:ascii="Times New Roman" w:eastAsiaTheme="minorEastAsia" w:hAnsi="Times New Roman" w:cs="Times New Roman"/>
      <w:lang w:eastAsia="cs-CZ"/>
    </w:rPr>
  </w:style>
  <w:style w:type="character" w:customStyle="1" w:styleId="PSMOdstavecChar">
    <w:name w:val="PÍSM. Odstavec Char"/>
    <w:basedOn w:val="K-NormalChar"/>
    <w:link w:val="PSMOdstavec"/>
    <w:rsid w:val="00374CBC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81F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079C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79C3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07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sid w:val="006079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79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0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Char">
    <w:name w:val="Paragraf Char"/>
    <w:basedOn w:val="Standardnpsmoodstavce"/>
    <w:link w:val="Paragraf"/>
    <w:locked/>
    <w:rsid w:val="006079C3"/>
    <w:rPr>
      <w:rFonts w:ascii="Times New Roman" w:eastAsiaTheme="majorEastAsia" w:hAnsi="Times New Roman" w:cstheme="majorBidi"/>
      <w:bCs/>
      <w:sz w:val="24"/>
      <w:szCs w:val="26"/>
    </w:rPr>
  </w:style>
  <w:style w:type="paragraph" w:customStyle="1" w:styleId="Paragraf">
    <w:name w:val="Paragraf"/>
    <w:basedOn w:val="Nadpis2"/>
    <w:link w:val="ParagrafChar"/>
    <w:qFormat/>
    <w:rsid w:val="006079C3"/>
    <w:pPr>
      <w:spacing w:before="240" w:after="120" w:line="240" w:lineRule="auto"/>
      <w:jc w:val="center"/>
    </w:pPr>
    <w:rPr>
      <w:rFonts w:ascii="Times New Roman" w:hAnsi="Times New Roman"/>
      <w:b w:val="0"/>
      <w:color w:val="auto"/>
      <w:sz w:val="24"/>
    </w:rPr>
  </w:style>
  <w:style w:type="paragraph" w:styleId="Zkladntext">
    <w:name w:val="Body Text"/>
    <w:basedOn w:val="Normln"/>
    <w:link w:val="ZkladntextChar"/>
    <w:semiHidden/>
    <w:rsid w:val="006079C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079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079C3"/>
    <w:pPr>
      <w:overflowPunct w:val="0"/>
      <w:autoSpaceDE w:val="0"/>
      <w:autoSpaceDN w:val="0"/>
      <w:adjustRightInd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079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6079C3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079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079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079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79C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-Normal">
    <w:name w:val="K-Normal"/>
    <w:basedOn w:val="Normln"/>
    <w:link w:val="K-NormalChar"/>
    <w:qFormat/>
    <w:rsid w:val="006079C3"/>
    <w:pPr>
      <w:keepLines/>
      <w:autoSpaceDE w:val="0"/>
      <w:autoSpaceDN w:val="0"/>
      <w:adjustRightInd w:val="0"/>
      <w:spacing w:after="120" w:line="264" w:lineRule="auto"/>
      <w:ind w:firstLine="284"/>
      <w:jc w:val="both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K-NormalChar">
    <w:name w:val="K-Normal Char"/>
    <w:basedOn w:val="Standardnpsmoodstavce"/>
    <w:link w:val="K-Normal"/>
    <w:rsid w:val="006079C3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9C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079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79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79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79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79C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079C3"/>
    <w:pPr>
      <w:spacing w:after="0" w:line="240" w:lineRule="auto"/>
    </w:pPr>
  </w:style>
  <w:style w:type="paragraph" w:customStyle="1" w:styleId="Default">
    <w:name w:val="Default"/>
    <w:rsid w:val="006079C3"/>
    <w:pPr>
      <w:autoSpaceDE w:val="0"/>
      <w:autoSpaceDN w:val="0"/>
      <w:adjustRightInd w:val="0"/>
      <w:spacing w:after="0" w:line="240" w:lineRule="auto"/>
    </w:pPr>
    <w:rPr>
      <w:rFonts w:ascii="Nimbus CEZCE" w:hAnsi="Nimbus CEZCE" w:cs="Nimbus CEZCE"/>
      <w:color w:val="000000"/>
      <w:sz w:val="24"/>
      <w:szCs w:val="24"/>
    </w:rPr>
  </w:style>
  <w:style w:type="character" w:customStyle="1" w:styleId="highlight">
    <w:name w:val="highlight"/>
    <w:basedOn w:val="Standardnpsmoodstavce"/>
    <w:rsid w:val="006079C3"/>
  </w:style>
  <w:style w:type="paragraph" w:styleId="Bezmezer">
    <w:name w:val="No Spacing"/>
    <w:uiPriority w:val="1"/>
    <w:qFormat/>
    <w:rsid w:val="0060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079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079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79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079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079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AC5E5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5E5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5E5A"/>
    <w:rPr>
      <w:vertAlign w:val="superscript"/>
    </w:rPr>
  </w:style>
  <w:style w:type="character" w:customStyle="1" w:styleId="CharStyle165">
    <w:name w:val="Char Style 165"/>
    <w:basedOn w:val="Standardnpsmoodstavce"/>
    <w:rsid w:val="006D60E7"/>
    <w:rPr>
      <w:rFonts w:ascii="Times New Roman" w:eastAsia="Times New Roman" w:hAnsi="Times New Roman" w:cs="Times New Roman"/>
      <w:color w:val="231F20"/>
      <w:spacing w:val="0"/>
      <w:w w:val="100"/>
      <w:position w:val="0"/>
      <w:sz w:val="18"/>
      <w:szCs w:val="18"/>
      <w:shd w:val="clear" w:color="auto" w:fill="FFFFFF"/>
      <w:lang w:val="cs"/>
    </w:rPr>
  </w:style>
  <w:style w:type="paragraph" w:customStyle="1" w:styleId="Paragraf-nzev">
    <w:name w:val="Paragraf - název"/>
    <w:basedOn w:val="Normln"/>
    <w:link w:val="Paragraf-nzevChar"/>
    <w:qFormat/>
    <w:rsid w:val="00C4124D"/>
    <w:pPr>
      <w:keepNext/>
      <w:keepLines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aragraf-nzevChar">
    <w:name w:val="Paragraf - název Char"/>
    <w:basedOn w:val="Standardnpsmoodstavce"/>
    <w:link w:val="Paragraf-nzev"/>
    <w:rsid w:val="00C412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LOOstavec">
    <w:name w:val="ČÍSLO Ostavec"/>
    <w:basedOn w:val="Normln"/>
    <w:link w:val="SLOOstavecChar"/>
    <w:qFormat/>
    <w:rsid w:val="0016497D"/>
    <w:pPr>
      <w:keepLines/>
      <w:numPr>
        <w:numId w:val="10"/>
      </w:numPr>
      <w:autoSpaceDE w:val="0"/>
      <w:autoSpaceDN w:val="0"/>
      <w:adjustRightInd w:val="0"/>
      <w:spacing w:after="120" w:line="264" w:lineRule="auto"/>
      <w:jc w:val="both"/>
    </w:pPr>
    <w:rPr>
      <w:rFonts w:ascii="Times New Roman" w:eastAsiaTheme="minorEastAsia" w:hAnsi="Times New Roman" w:cs="Times New Roman"/>
      <w:lang w:eastAsia="cs-CZ"/>
    </w:rPr>
  </w:style>
  <w:style w:type="character" w:customStyle="1" w:styleId="SLOOstavecChar">
    <w:name w:val="ČÍSLO Ostavec Char"/>
    <w:basedOn w:val="Standardnpsmoodstavce"/>
    <w:link w:val="SLOOstavec"/>
    <w:rsid w:val="0016497D"/>
    <w:rPr>
      <w:rFonts w:ascii="Times New Roman" w:eastAsiaTheme="minorEastAsia" w:hAnsi="Times New Roman" w:cs="Times New Roman"/>
      <w:lang w:eastAsia="cs-CZ"/>
    </w:rPr>
  </w:style>
  <w:style w:type="paragraph" w:customStyle="1" w:styleId="PSMOdstavec">
    <w:name w:val="PÍSM. Odstavec"/>
    <w:basedOn w:val="Normln"/>
    <w:link w:val="PSMOdstavecChar"/>
    <w:qFormat/>
    <w:rsid w:val="0016497D"/>
    <w:pPr>
      <w:keepLines/>
      <w:numPr>
        <w:ilvl w:val="1"/>
        <w:numId w:val="10"/>
      </w:numPr>
      <w:autoSpaceDE w:val="0"/>
      <w:autoSpaceDN w:val="0"/>
      <w:adjustRightInd w:val="0"/>
      <w:spacing w:after="120" w:line="264" w:lineRule="auto"/>
      <w:ind w:left="1276" w:hanging="272"/>
      <w:jc w:val="both"/>
    </w:pPr>
    <w:rPr>
      <w:rFonts w:ascii="Times New Roman" w:eastAsiaTheme="minorEastAsia" w:hAnsi="Times New Roman" w:cs="Times New Roman"/>
      <w:lang w:eastAsia="cs-CZ"/>
    </w:rPr>
  </w:style>
  <w:style w:type="paragraph" w:customStyle="1" w:styleId="BODOdstavec">
    <w:name w:val="BOD Odstavec"/>
    <w:basedOn w:val="Normln"/>
    <w:qFormat/>
    <w:rsid w:val="0016497D"/>
    <w:pPr>
      <w:keepLines/>
      <w:numPr>
        <w:ilvl w:val="2"/>
        <w:numId w:val="10"/>
      </w:numPr>
      <w:autoSpaceDE w:val="0"/>
      <w:autoSpaceDN w:val="0"/>
      <w:adjustRightInd w:val="0"/>
      <w:spacing w:after="60" w:line="240" w:lineRule="auto"/>
      <w:ind w:left="2268" w:hanging="364"/>
      <w:jc w:val="both"/>
    </w:pPr>
    <w:rPr>
      <w:rFonts w:ascii="Times New Roman" w:eastAsiaTheme="minorEastAsia" w:hAnsi="Times New Roman" w:cs="Times New Roman"/>
      <w:lang w:eastAsia="cs-CZ"/>
    </w:rPr>
  </w:style>
  <w:style w:type="character" w:customStyle="1" w:styleId="PSMOdstavecChar">
    <w:name w:val="PÍSM. Odstavec Char"/>
    <w:basedOn w:val="K-NormalChar"/>
    <w:link w:val="PSMOdstavec"/>
    <w:rsid w:val="00374CBC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ecaec5d2-6d7c-4032-b970-54ac236fdf2a">Pokyny ke vzoru výkazu ke Zprávě o kvalitě a úrovni údržby_doc5640675547.docx</FileName>
    <OIP xmlns="ecaec5d2-6d7c-4032-b970-54ac236fdf2a">2000</OIP>
    <DATUM xmlns="ecaec5d2-6d7c-4032-b970-54ac236fdf2a">2022-06-27T22:00:00+00:00</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D2E4432AD614DAB34DFAF86A06305" ma:contentTypeVersion="3" ma:contentTypeDescription="Vytvoří nový dokument" ma:contentTypeScope="" ma:versionID="ffee4e9d253b2931799c1ebc6968a45c">
  <xsd:schema xmlns:xsd="http://www.w3.org/2001/XMLSchema" xmlns:xs="http://www.w3.org/2001/XMLSchema" xmlns:p="http://schemas.microsoft.com/office/2006/metadata/properties" xmlns:ns2="ecaec5d2-6d7c-4032-b970-54ac236fdf2a" targetNamespace="http://schemas.microsoft.com/office/2006/metadata/properties" ma:root="true" ma:fieldsID="f7b0387b008b35713f8c236310396cf2" ns2:_="">
    <xsd:import namespace="ecaec5d2-6d7c-4032-b970-54ac236fdf2a"/>
    <xsd:element name="properties">
      <xsd:complexType>
        <xsd:sequence>
          <xsd:element name="documentManagement">
            <xsd:complexType>
              <xsd:all>
                <xsd:element ref="ns2:OIP" minOccurs="0"/>
                <xsd:element ref="ns2:DATUM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c5d2-6d7c-4032-b970-54ac236fdf2a" elementFormDefault="qualified">
    <xsd:import namespace="http://schemas.microsoft.com/office/2006/documentManagement/types"/>
    <xsd:import namespace="http://schemas.microsoft.com/office/infopath/2007/PartnerControls"/>
    <xsd:element name="OIP" ma:index="8" nillable="true" ma:displayName="OIP" ma:internalName="OIP">
      <xsd:simpleType>
        <xsd:restriction base="dms:Text">
          <xsd:maxLength value="255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ileName" ma:index="10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88BD-44D5-4B08-943F-30EA35FEA941}">
  <ds:schemaRefs>
    <ds:schemaRef ds:uri="http://schemas.microsoft.com/office/2006/metadata/properties"/>
    <ds:schemaRef ds:uri="http://schemas.microsoft.com/office/infopath/2007/PartnerControls"/>
    <ds:schemaRef ds:uri="ecaec5d2-6d7c-4032-b970-54ac236fdf2a"/>
  </ds:schemaRefs>
</ds:datastoreItem>
</file>

<file path=customXml/itemProps2.xml><?xml version="1.0" encoding="utf-8"?>
<ds:datastoreItem xmlns:ds="http://schemas.openxmlformats.org/officeDocument/2006/customXml" ds:itemID="{ADC272A2-CE30-42F5-ADE9-8A5CDD2D1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14AF4-3C32-45FF-AC8A-825BD3FD8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ec5d2-6d7c-4032-b970-54ac236fd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15939-7F86-4935-9CCA-7DE54179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15147</TotalTime>
  <Pages>10</Pages>
  <Words>1584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Škrha Tomáš Mgr.</dc:creator>
  <cp:lastModifiedBy>Zdenek</cp:lastModifiedBy>
  <cp:revision>7</cp:revision>
  <cp:lastPrinted>2025-05-19T10:27:00Z</cp:lastPrinted>
  <dcterms:created xsi:type="dcterms:W3CDTF">2025-05-21T11:17:00Z</dcterms:created>
  <dcterms:modified xsi:type="dcterms:W3CDTF">2025-06-03T08:20:00Z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0x01010094AD2E4432AD614DAB34DFAF86A06305</vt:lpwstr>
  </property>
</Properties>
</file>